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871" w:rsidRPr="002E1DA3" w:rsidRDefault="00A54871" w:rsidP="00A54871">
      <w:pPr>
        <w:ind w:right="9"/>
        <w:jc w:val="both"/>
      </w:pPr>
      <w:r w:rsidRPr="002E1DA3">
        <w:t xml:space="preserve">  </w:t>
      </w:r>
      <w:r w:rsidRPr="002E1DA3">
        <w:rPr>
          <w:b/>
          <w:bCs/>
        </w:rPr>
        <w:t xml:space="preserve">TRƯỜNG ĐẠI HỌC SƯ PHẠM  </w:t>
      </w:r>
      <w:r w:rsidR="002E1DA3">
        <w:rPr>
          <w:b/>
          <w:bCs/>
        </w:rPr>
        <w:t xml:space="preserve">         </w:t>
      </w:r>
      <w:r w:rsidRPr="002E1DA3">
        <w:rPr>
          <w:b/>
          <w:bCs/>
        </w:rPr>
        <w:t>CỘNG HOÀ XÃ HỘI CHỦ NGHĨA VIỆT NAM</w:t>
      </w:r>
    </w:p>
    <w:p w:rsidR="00A54871" w:rsidRPr="002E1DA3" w:rsidRDefault="002E1DA3" w:rsidP="00A54871">
      <w:pPr>
        <w:spacing w:after="120"/>
        <w:ind w:right="11"/>
        <w:jc w:val="both"/>
      </w:pPr>
      <w:r w:rsidRPr="002E1DA3">
        <w:rPr>
          <w:b/>
        </w:rPr>
        <w:t xml:space="preserve">       </w:t>
      </w:r>
      <w:r>
        <w:rPr>
          <w:b/>
        </w:rPr>
        <w:t xml:space="preserve"> </w:t>
      </w:r>
      <w:r w:rsidR="00817209">
        <w:rPr>
          <w:b/>
        </w:rPr>
        <w:t xml:space="preserve">   </w:t>
      </w:r>
      <w:r w:rsidRPr="00817209">
        <w:rPr>
          <w:b/>
        </w:rPr>
        <w:t>KHOA</w:t>
      </w:r>
      <w:r w:rsidR="00817209" w:rsidRPr="00817209">
        <w:rPr>
          <w:b/>
        </w:rPr>
        <w:t xml:space="preserve"> VẬT LÝ</w:t>
      </w:r>
      <w:r w:rsidR="00817209">
        <w:t xml:space="preserve">          </w:t>
      </w:r>
      <w:r w:rsidR="00817209">
        <w:tab/>
      </w:r>
      <w:r w:rsidR="00817209">
        <w:tab/>
      </w:r>
      <w:r w:rsidR="00817209">
        <w:tab/>
        <w:t xml:space="preserve">  </w:t>
      </w:r>
      <w:r w:rsidR="00A54871" w:rsidRPr="002E1DA3">
        <w:rPr>
          <w:b/>
          <w:bCs/>
        </w:rPr>
        <w:t>Độc lập - Tự do - Hạnh phúc</w:t>
      </w:r>
    </w:p>
    <w:p w:rsidR="00A54871" w:rsidRDefault="003675E2" w:rsidP="00A54871">
      <w:pPr>
        <w:spacing w:line="264" w:lineRule="auto"/>
        <w:ind w:right="9"/>
        <w:jc w:val="both"/>
      </w:pPr>
      <w:r>
        <w:pict>
          <v:line id="_x0000_s1027" style="position:absolute;left:0;text-align:left;z-index:251661312" from="22.1pt,1.45pt" to="129.35pt,1.45pt"/>
        </w:pict>
      </w:r>
      <w:r>
        <w:pict>
          <v:line id="_x0000_s1026" style="position:absolute;left:0;text-align:left;flip:y;z-index:251660288" from="260.6pt,1.45pt" to="404.6pt,1.45pt"/>
        </w:pict>
      </w:r>
      <w:r w:rsidR="00A54871" w:rsidRPr="002E1DA3">
        <w:t xml:space="preserve">           </w:t>
      </w:r>
    </w:p>
    <w:p w:rsidR="005654B4" w:rsidRPr="005654B4" w:rsidRDefault="005654B4" w:rsidP="00A54871">
      <w:pPr>
        <w:spacing w:line="264" w:lineRule="auto"/>
        <w:ind w:right="9"/>
        <w:jc w:val="both"/>
        <w:rPr>
          <w:i/>
          <w:sz w:val="28"/>
          <w:szCs w:val="28"/>
        </w:rPr>
      </w:pPr>
      <w:r>
        <w:tab/>
      </w:r>
      <w:r>
        <w:tab/>
      </w:r>
      <w:r>
        <w:tab/>
      </w:r>
      <w:r>
        <w:tab/>
      </w:r>
      <w:r>
        <w:tab/>
      </w:r>
      <w:r>
        <w:tab/>
      </w:r>
      <w:r w:rsidR="009039BD">
        <w:rPr>
          <w:i/>
          <w:sz w:val="28"/>
          <w:szCs w:val="28"/>
        </w:rPr>
        <w:t xml:space="preserve">Đà Nẵng, ngày </w:t>
      </w:r>
      <w:proofErr w:type="gramStart"/>
      <w:r w:rsidR="009039BD">
        <w:rPr>
          <w:i/>
          <w:sz w:val="28"/>
          <w:szCs w:val="28"/>
        </w:rPr>
        <w:t>22</w:t>
      </w:r>
      <w:r w:rsidR="00725F3E">
        <w:rPr>
          <w:i/>
          <w:sz w:val="28"/>
          <w:szCs w:val="28"/>
        </w:rPr>
        <w:t xml:space="preserve">  tháng</w:t>
      </w:r>
      <w:proofErr w:type="gramEnd"/>
      <w:r w:rsidR="00725F3E">
        <w:rPr>
          <w:i/>
          <w:sz w:val="28"/>
          <w:szCs w:val="28"/>
        </w:rPr>
        <w:t xml:space="preserve"> 07</w:t>
      </w:r>
      <w:r w:rsidRPr="005654B4">
        <w:rPr>
          <w:i/>
          <w:sz w:val="28"/>
          <w:szCs w:val="28"/>
        </w:rPr>
        <w:t xml:space="preserve"> năm 2015</w:t>
      </w:r>
    </w:p>
    <w:p w:rsidR="00A54871" w:rsidRDefault="00A54871"/>
    <w:p w:rsidR="006740A5" w:rsidRPr="00A54871" w:rsidRDefault="005443A9" w:rsidP="00B80059">
      <w:pPr>
        <w:spacing w:line="360" w:lineRule="auto"/>
        <w:jc w:val="center"/>
        <w:rPr>
          <w:b/>
          <w:sz w:val="28"/>
          <w:szCs w:val="28"/>
        </w:rPr>
      </w:pPr>
      <w:r>
        <w:rPr>
          <w:b/>
          <w:sz w:val="28"/>
          <w:szCs w:val="28"/>
        </w:rPr>
        <w:t>THÔNG TIN TUYỂN SINH CAO HỌC CHUYÊN NGÀNH LÝ LUẬN VÀ PHƯƠNG PHÁP DẠY HỌC BỘ MÔN VẬT LÝ</w:t>
      </w:r>
    </w:p>
    <w:p w:rsidR="00D57037" w:rsidRDefault="00D57037" w:rsidP="00A54871">
      <w:pPr>
        <w:pStyle w:val="ListParagraph"/>
        <w:spacing w:line="360" w:lineRule="auto"/>
        <w:ind w:left="142"/>
        <w:jc w:val="both"/>
        <w:rPr>
          <w:b/>
          <w:sz w:val="28"/>
          <w:szCs w:val="28"/>
        </w:rPr>
      </w:pPr>
    </w:p>
    <w:p w:rsidR="005443A9" w:rsidRDefault="005443A9" w:rsidP="005443A9">
      <w:pPr>
        <w:pStyle w:val="Heading2"/>
        <w:numPr>
          <w:ilvl w:val="0"/>
          <w:numId w:val="5"/>
        </w:numPr>
        <w:spacing w:before="0" w:after="0" w:line="360" w:lineRule="auto"/>
        <w:rPr>
          <w:rFonts w:ascii="Times New Roman" w:hAnsi="Times New Roman"/>
          <w:i w:val="0"/>
          <w:sz w:val="26"/>
          <w:szCs w:val="26"/>
          <w:lang w:val="en-US"/>
        </w:rPr>
      </w:pPr>
      <w:bookmarkStart w:id="0" w:name="_Toc375828993"/>
      <w:r w:rsidRPr="002F6B47">
        <w:rPr>
          <w:rFonts w:ascii="Times New Roman" w:hAnsi="Times New Roman"/>
          <w:i w:val="0"/>
          <w:sz w:val="26"/>
          <w:szCs w:val="26"/>
        </w:rPr>
        <w:t>DANH MỤC CHUYÊN NGÀNH PHÙ HỢP, CHUYÊN NGÀNH GẦN</w:t>
      </w:r>
      <w:bookmarkEnd w:id="0"/>
    </w:p>
    <w:tbl>
      <w:tblPr>
        <w:tblW w:w="8967" w:type="dxa"/>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105"/>
        <w:gridCol w:w="5050"/>
      </w:tblGrid>
      <w:tr w:rsidR="005443A9" w:rsidRPr="002F6B47" w:rsidTr="00217010">
        <w:trPr>
          <w:trHeight w:val="409"/>
          <w:jc w:val="center"/>
        </w:trPr>
        <w:tc>
          <w:tcPr>
            <w:tcW w:w="812" w:type="dxa"/>
            <w:shd w:val="clear" w:color="auto" w:fill="auto"/>
          </w:tcPr>
          <w:p w:rsidR="005443A9" w:rsidRPr="00652096" w:rsidRDefault="005443A9" w:rsidP="00217010">
            <w:pPr>
              <w:spacing w:line="360" w:lineRule="auto"/>
              <w:jc w:val="center"/>
              <w:rPr>
                <w:b/>
                <w:sz w:val="26"/>
                <w:szCs w:val="26"/>
              </w:rPr>
            </w:pPr>
            <w:r w:rsidRPr="00652096">
              <w:rPr>
                <w:b/>
                <w:sz w:val="26"/>
                <w:szCs w:val="26"/>
              </w:rPr>
              <w:t>STT</w:t>
            </w:r>
          </w:p>
        </w:tc>
        <w:tc>
          <w:tcPr>
            <w:tcW w:w="3105" w:type="dxa"/>
            <w:shd w:val="clear" w:color="auto" w:fill="auto"/>
          </w:tcPr>
          <w:p w:rsidR="005443A9" w:rsidRPr="00652096" w:rsidRDefault="005443A9" w:rsidP="00217010">
            <w:pPr>
              <w:spacing w:line="360" w:lineRule="auto"/>
              <w:jc w:val="center"/>
              <w:rPr>
                <w:b/>
                <w:sz w:val="26"/>
                <w:szCs w:val="26"/>
              </w:rPr>
            </w:pPr>
            <w:r w:rsidRPr="00652096">
              <w:rPr>
                <w:b/>
                <w:sz w:val="26"/>
                <w:szCs w:val="26"/>
              </w:rPr>
              <w:t xml:space="preserve">Chuyên ngành </w:t>
            </w:r>
          </w:p>
        </w:tc>
        <w:tc>
          <w:tcPr>
            <w:tcW w:w="5050" w:type="dxa"/>
            <w:shd w:val="clear" w:color="auto" w:fill="auto"/>
          </w:tcPr>
          <w:p w:rsidR="005443A9" w:rsidRPr="00652096" w:rsidRDefault="005443A9" w:rsidP="00217010">
            <w:pPr>
              <w:spacing w:line="360" w:lineRule="auto"/>
              <w:jc w:val="center"/>
              <w:rPr>
                <w:b/>
                <w:sz w:val="26"/>
                <w:szCs w:val="26"/>
              </w:rPr>
            </w:pPr>
            <w:r w:rsidRPr="00652096">
              <w:rPr>
                <w:b/>
                <w:sz w:val="26"/>
                <w:szCs w:val="26"/>
              </w:rPr>
              <w:t>Học phần bổ sung kiến thức</w:t>
            </w:r>
          </w:p>
        </w:tc>
      </w:tr>
      <w:tr w:rsidR="005443A9" w:rsidRPr="002F6B47" w:rsidTr="00217010">
        <w:trPr>
          <w:trHeight w:val="474"/>
          <w:jc w:val="center"/>
        </w:trPr>
        <w:tc>
          <w:tcPr>
            <w:tcW w:w="8967" w:type="dxa"/>
            <w:gridSpan w:val="3"/>
            <w:shd w:val="clear" w:color="auto" w:fill="auto"/>
          </w:tcPr>
          <w:p w:rsidR="005443A9" w:rsidRPr="00652096" w:rsidRDefault="005443A9" w:rsidP="00217010">
            <w:pPr>
              <w:spacing w:line="360" w:lineRule="auto"/>
              <w:rPr>
                <w:sz w:val="26"/>
                <w:szCs w:val="26"/>
              </w:rPr>
            </w:pPr>
            <w:r w:rsidRPr="00652096">
              <w:rPr>
                <w:b/>
                <w:sz w:val="26"/>
                <w:szCs w:val="26"/>
              </w:rPr>
              <w:t>Chuyên ngành phù hợp</w:t>
            </w:r>
          </w:p>
        </w:tc>
      </w:tr>
      <w:tr w:rsidR="005443A9" w:rsidRPr="002F6B47" w:rsidTr="00217010">
        <w:trPr>
          <w:trHeight w:val="474"/>
          <w:jc w:val="center"/>
        </w:trPr>
        <w:tc>
          <w:tcPr>
            <w:tcW w:w="812" w:type="dxa"/>
            <w:shd w:val="clear" w:color="auto" w:fill="auto"/>
          </w:tcPr>
          <w:p w:rsidR="005443A9" w:rsidRPr="00652096" w:rsidRDefault="005443A9" w:rsidP="005443A9">
            <w:pPr>
              <w:pStyle w:val="ListParagraph"/>
              <w:numPr>
                <w:ilvl w:val="0"/>
                <w:numId w:val="3"/>
              </w:numPr>
              <w:spacing w:line="360" w:lineRule="auto"/>
              <w:ind w:left="454"/>
              <w:jc w:val="both"/>
              <w:rPr>
                <w:sz w:val="26"/>
                <w:szCs w:val="26"/>
              </w:rPr>
            </w:pPr>
          </w:p>
        </w:tc>
        <w:tc>
          <w:tcPr>
            <w:tcW w:w="3105" w:type="dxa"/>
            <w:shd w:val="clear" w:color="auto" w:fill="auto"/>
          </w:tcPr>
          <w:p w:rsidR="005443A9" w:rsidRPr="00652096" w:rsidRDefault="005443A9" w:rsidP="00217010">
            <w:pPr>
              <w:spacing w:line="360" w:lineRule="auto"/>
              <w:jc w:val="both"/>
              <w:rPr>
                <w:sz w:val="26"/>
                <w:szCs w:val="26"/>
              </w:rPr>
            </w:pPr>
            <w:r w:rsidRPr="00652096">
              <w:rPr>
                <w:sz w:val="26"/>
                <w:szCs w:val="26"/>
              </w:rPr>
              <w:t>Sư phạm Vật lý bậc đại học</w:t>
            </w:r>
          </w:p>
        </w:tc>
        <w:tc>
          <w:tcPr>
            <w:tcW w:w="5050" w:type="dxa"/>
            <w:shd w:val="clear" w:color="auto" w:fill="auto"/>
          </w:tcPr>
          <w:p w:rsidR="005443A9" w:rsidRPr="00652096" w:rsidRDefault="005443A9" w:rsidP="00217010">
            <w:pPr>
              <w:spacing w:line="360" w:lineRule="auto"/>
              <w:jc w:val="center"/>
              <w:rPr>
                <w:sz w:val="26"/>
                <w:szCs w:val="26"/>
              </w:rPr>
            </w:pPr>
            <w:r w:rsidRPr="00652096">
              <w:rPr>
                <w:sz w:val="26"/>
                <w:szCs w:val="26"/>
              </w:rPr>
              <w:t>Không</w:t>
            </w:r>
          </w:p>
        </w:tc>
      </w:tr>
      <w:tr w:rsidR="005443A9" w:rsidRPr="002F6B47" w:rsidTr="00217010">
        <w:trPr>
          <w:trHeight w:val="424"/>
          <w:jc w:val="center"/>
        </w:trPr>
        <w:tc>
          <w:tcPr>
            <w:tcW w:w="8967" w:type="dxa"/>
            <w:gridSpan w:val="3"/>
            <w:shd w:val="clear" w:color="auto" w:fill="auto"/>
          </w:tcPr>
          <w:p w:rsidR="005443A9" w:rsidRPr="00652096" w:rsidRDefault="005443A9" w:rsidP="00217010">
            <w:pPr>
              <w:spacing w:line="360" w:lineRule="auto"/>
              <w:rPr>
                <w:b/>
                <w:sz w:val="26"/>
                <w:szCs w:val="26"/>
              </w:rPr>
            </w:pPr>
            <w:r w:rsidRPr="00652096">
              <w:rPr>
                <w:b/>
                <w:sz w:val="26"/>
                <w:szCs w:val="26"/>
              </w:rPr>
              <w:t>Chuyên ngành gần</w:t>
            </w:r>
          </w:p>
        </w:tc>
      </w:tr>
      <w:tr w:rsidR="005443A9" w:rsidRPr="002F6B47" w:rsidTr="00217010">
        <w:trPr>
          <w:trHeight w:val="353"/>
          <w:jc w:val="center"/>
        </w:trPr>
        <w:tc>
          <w:tcPr>
            <w:tcW w:w="812" w:type="dxa"/>
            <w:shd w:val="clear" w:color="auto" w:fill="auto"/>
          </w:tcPr>
          <w:p w:rsidR="005443A9" w:rsidRPr="00652096" w:rsidRDefault="005443A9" w:rsidP="005443A9">
            <w:pPr>
              <w:pStyle w:val="ListParagraph"/>
              <w:numPr>
                <w:ilvl w:val="0"/>
                <w:numId w:val="3"/>
              </w:numPr>
              <w:spacing w:line="360" w:lineRule="auto"/>
              <w:ind w:left="454"/>
              <w:jc w:val="both"/>
              <w:rPr>
                <w:sz w:val="26"/>
                <w:szCs w:val="26"/>
              </w:rPr>
            </w:pPr>
          </w:p>
        </w:tc>
        <w:tc>
          <w:tcPr>
            <w:tcW w:w="3105" w:type="dxa"/>
            <w:shd w:val="clear" w:color="auto" w:fill="auto"/>
          </w:tcPr>
          <w:p w:rsidR="005443A9" w:rsidRPr="0032754F" w:rsidRDefault="005443A9" w:rsidP="00217010">
            <w:pPr>
              <w:jc w:val="both"/>
              <w:rPr>
                <w:color w:val="000000"/>
                <w:sz w:val="26"/>
                <w:szCs w:val="26"/>
              </w:rPr>
            </w:pPr>
            <w:r w:rsidRPr="00652096">
              <w:rPr>
                <w:sz w:val="26"/>
                <w:szCs w:val="26"/>
              </w:rPr>
              <w:t>Cử nhân vật lý</w:t>
            </w:r>
            <w:r>
              <w:rPr>
                <w:sz w:val="26"/>
                <w:szCs w:val="26"/>
              </w:rPr>
              <w:t xml:space="preserve"> học</w:t>
            </w:r>
          </w:p>
          <w:p w:rsidR="005443A9" w:rsidRPr="00652096" w:rsidRDefault="005443A9" w:rsidP="00217010">
            <w:pPr>
              <w:jc w:val="both"/>
              <w:rPr>
                <w:color w:val="000000"/>
                <w:sz w:val="26"/>
                <w:szCs w:val="26"/>
              </w:rPr>
            </w:pPr>
            <w:r w:rsidRPr="00652096">
              <w:rPr>
                <w:color w:val="000000"/>
                <w:sz w:val="26"/>
                <w:szCs w:val="26"/>
              </w:rPr>
              <w:t xml:space="preserve">Cử nhân Vật lý ứng dụng </w:t>
            </w:r>
          </w:p>
          <w:p w:rsidR="005443A9" w:rsidRPr="00652096" w:rsidRDefault="005443A9" w:rsidP="00217010">
            <w:pPr>
              <w:jc w:val="both"/>
              <w:rPr>
                <w:color w:val="000000"/>
                <w:sz w:val="26"/>
                <w:szCs w:val="26"/>
              </w:rPr>
            </w:pPr>
            <w:r w:rsidRPr="00652096">
              <w:rPr>
                <w:color w:val="000000"/>
                <w:sz w:val="26"/>
                <w:szCs w:val="26"/>
              </w:rPr>
              <w:t xml:space="preserve">Cử nhân Vật lý tin học </w:t>
            </w:r>
          </w:p>
          <w:p w:rsidR="005443A9" w:rsidRPr="00652096" w:rsidRDefault="005443A9" w:rsidP="00217010">
            <w:pPr>
              <w:spacing w:line="360" w:lineRule="auto"/>
              <w:jc w:val="both"/>
              <w:rPr>
                <w:sz w:val="26"/>
                <w:szCs w:val="26"/>
              </w:rPr>
            </w:pPr>
            <w:r w:rsidRPr="00652096">
              <w:rPr>
                <w:color w:val="000000"/>
                <w:sz w:val="26"/>
                <w:szCs w:val="26"/>
              </w:rPr>
              <w:t>Cử nhân Vật lý công nghệ…</w:t>
            </w:r>
          </w:p>
        </w:tc>
        <w:tc>
          <w:tcPr>
            <w:tcW w:w="5050" w:type="dxa"/>
            <w:shd w:val="clear" w:color="auto" w:fill="auto"/>
          </w:tcPr>
          <w:p w:rsidR="005443A9" w:rsidRPr="00652096" w:rsidRDefault="005443A9" w:rsidP="00217010">
            <w:pPr>
              <w:spacing w:line="360" w:lineRule="auto"/>
              <w:rPr>
                <w:sz w:val="26"/>
                <w:szCs w:val="26"/>
              </w:rPr>
            </w:pPr>
            <w:r>
              <w:rPr>
                <w:sz w:val="26"/>
                <w:szCs w:val="26"/>
              </w:rPr>
              <w:t>1</w:t>
            </w:r>
            <w:r w:rsidRPr="00652096">
              <w:rPr>
                <w:sz w:val="26"/>
                <w:szCs w:val="26"/>
              </w:rPr>
              <w:t>. Lý luận và phương pháp dạy học vật lý (3TC)</w:t>
            </w:r>
          </w:p>
          <w:p w:rsidR="005443A9" w:rsidRPr="00652096" w:rsidRDefault="005443A9" w:rsidP="00217010">
            <w:pPr>
              <w:spacing w:line="360" w:lineRule="auto"/>
              <w:jc w:val="both"/>
              <w:rPr>
                <w:sz w:val="26"/>
                <w:szCs w:val="26"/>
              </w:rPr>
            </w:pPr>
            <w:r>
              <w:rPr>
                <w:sz w:val="26"/>
                <w:szCs w:val="26"/>
              </w:rPr>
              <w:t>2</w:t>
            </w:r>
            <w:r w:rsidRPr="00652096">
              <w:rPr>
                <w:sz w:val="26"/>
                <w:szCs w:val="26"/>
              </w:rPr>
              <w:t>. Phân tích chương trình vật lý phổ thông hiện hành (3TC)</w:t>
            </w:r>
          </w:p>
        </w:tc>
      </w:tr>
      <w:tr w:rsidR="005443A9" w:rsidRPr="002F6B47" w:rsidTr="00217010">
        <w:trPr>
          <w:trHeight w:val="353"/>
          <w:jc w:val="center"/>
        </w:trPr>
        <w:tc>
          <w:tcPr>
            <w:tcW w:w="812" w:type="dxa"/>
            <w:shd w:val="clear" w:color="auto" w:fill="auto"/>
          </w:tcPr>
          <w:p w:rsidR="005443A9" w:rsidRPr="00652096" w:rsidRDefault="005443A9" w:rsidP="005443A9">
            <w:pPr>
              <w:pStyle w:val="ListParagraph"/>
              <w:numPr>
                <w:ilvl w:val="0"/>
                <w:numId w:val="3"/>
              </w:numPr>
              <w:spacing w:line="360" w:lineRule="auto"/>
              <w:ind w:left="454"/>
              <w:jc w:val="both"/>
              <w:rPr>
                <w:sz w:val="26"/>
                <w:szCs w:val="26"/>
              </w:rPr>
            </w:pPr>
          </w:p>
        </w:tc>
        <w:tc>
          <w:tcPr>
            <w:tcW w:w="3105" w:type="dxa"/>
            <w:shd w:val="clear" w:color="auto" w:fill="auto"/>
          </w:tcPr>
          <w:p w:rsidR="005443A9" w:rsidRPr="00652096" w:rsidRDefault="005443A9" w:rsidP="00217010">
            <w:pPr>
              <w:jc w:val="both"/>
              <w:rPr>
                <w:color w:val="000000"/>
                <w:sz w:val="26"/>
                <w:szCs w:val="26"/>
              </w:rPr>
            </w:pPr>
            <w:r w:rsidRPr="00652096">
              <w:rPr>
                <w:color w:val="000000"/>
                <w:sz w:val="26"/>
                <w:szCs w:val="26"/>
              </w:rPr>
              <w:t>Sư phạm Lý - Tin bậc đại học</w:t>
            </w:r>
          </w:p>
          <w:p w:rsidR="005443A9" w:rsidRPr="00652096" w:rsidRDefault="005443A9" w:rsidP="00217010">
            <w:pPr>
              <w:jc w:val="both"/>
              <w:rPr>
                <w:color w:val="000000"/>
                <w:sz w:val="26"/>
                <w:szCs w:val="26"/>
              </w:rPr>
            </w:pPr>
            <w:r w:rsidRPr="00652096">
              <w:rPr>
                <w:color w:val="000000"/>
                <w:sz w:val="26"/>
                <w:szCs w:val="26"/>
              </w:rPr>
              <w:t>Sư phạm Vật lý - công nghệ bậc đại học</w:t>
            </w:r>
          </w:p>
          <w:p w:rsidR="005443A9" w:rsidRPr="00652096" w:rsidRDefault="005443A9" w:rsidP="00217010">
            <w:pPr>
              <w:jc w:val="both"/>
              <w:rPr>
                <w:color w:val="000000"/>
                <w:sz w:val="26"/>
                <w:szCs w:val="26"/>
              </w:rPr>
            </w:pPr>
            <w:r w:rsidRPr="00652096">
              <w:rPr>
                <w:color w:val="000000"/>
                <w:sz w:val="26"/>
                <w:szCs w:val="26"/>
              </w:rPr>
              <w:t>Sư phạm Vật lý - Kỹ thuật</w:t>
            </w:r>
          </w:p>
          <w:p w:rsidR="005443A9" w:rsidRPr="00652096" w:rsidRDefault="005443A9" w:rsidP="00217010">
            <w:pPr>
              <w:jc w:val="both"/>
              <w:rPr>
                <w:color w:val="000000"/>
                <w:sz w:val="26"/>
                <w:szCs w:val="26"/>
              </w:rPr>
            </w:pPr>
            <w:r w:rsidRPr="00652096">
              <w:rPr>
                <w:color w:val="000000"/>
                <w:sz w:val="26"/>
                <w:szCs w:val="26"/>
              </w:rPr>
              <w:t>…</w:t>
            </w:r>
          </w:p>
        </w:tc>
        <w:tc>
          <w:tcPr>
            <w:tcW w:w="5050" w:type="dxa"/>
            <w:shd w:val="clear" w:color="auto" w:fill="auto"/>
          </w:tcPr>
          <w:p w:rsidR="005443A9" w:rsidRPr="00652096" w:rsidRDefault="005443A9" w:rsidP="00217010">
            <w:pPr>
              <w:spacing w:line="360" w:lineRule="auto"/>
              <w:rPr>
                <w:sz w:val="26"/>
                <w:szCs w:val="26"/>
              </w:rPr>
            </w:pPr>
            <w:r w:rsidRPr="00652096">
              <w:rPr>
                <w:sz w:val="26"/>
                <w:szCs w:val="26"/>
              </w:rPr>
              <w:t xml:space="preserve">1. </w:t>
            </w:r>
            <w:r>
              <w:rPr>
                <w:sz w:val="26"/>
                <w:szCs w:val="26"/>
              </w:rPr>
              <w:t>Vật lý lý thuyết 1 (3</w:t>
            </w:r>
            <w:r w:rsidRPr="00652096">
              <w:rPr>
                <w:sz w:val="26"/>
                <w:szCs w:val="26"/>
              </w:rPr>
              <w:t>TC)</w:t>
            </w:r>
          </w:p>
          <w:p w:rsidR="005443A9" w:rsidRPr="00652096" w:rsidRDefault="005443A9" w:rsidP="00217010">
            <w:pPr>
              <w:spacing w:line="360" w:lineRule="auto"/>
              <w:rPr>
                <w:sz w:val="26"/>
                <w:szCs w:val="26"/>
              </w:rPr>
            </w:pPr>
            <w:r>
              <w:rPr>
                <w:sz w:val="26"/>
                <w:szCs w:val="26"/>
              </w:rPr>
              <w:t>2</w:t>
            </w:r>
            <w:r w:rsidRPr="00652096">
              <w:rPr>
                <w:sz w:val="26"/>
                <w:szCs w:val="26"/>
              </w:rPr>
              <w:t>. Phân tích chương trình vật lý phổ thông hiện hành (3TC)</w:t>
            </w:r>
          </w:p>
          <w:p w:rsidR="005443A9" w:rsidRPr="00652096" w:rsidRDefault="005443A9" w:rsidP="00217010">
            <w:pPr>
              <w:spacing w:line="360" w:lineRule="auto"/>
              <w:rPr>
                <w:sz w:val="26"/>
                <w:szCs w:val="26"/>
              </w:rPr>
            </w:pPr>
            <w:r>
              <w:rPr>
                <w:sz w:val="26"/>
                <w:szCs w:val="26"/>
              </w:rPr>
              <w:t>3</w:t>
            </w:r>
            <w:r w:rsidRPr="00652096">
              <w:rPr>
                <w:sz w:val="26"/>
                <w:szCs w:val="26"/>
              </w:rPr>
              <w:t>. Lý luận và phương pháp dạy học vật lý (3TC)</w:t>
            </w:r>
          </w:p>
        </w:tc>
      </w:tr>
    </w:tbl>
    <w:p w:rsidR="005443A9" w:rsidRDefault="005443A9" w:rsidP="005443A9"/>
    <w:p w:rsidR="005443A9" w:rsidRDefault="005443A9" w:rsidP="005443A9">
      <w:pPr>
        <w:spacing w:before="120" w:after="120" w:line="360" w:lineRule="auto"/>
        <w:ind w:firstLine="560"/>
        <w:jc w:val="both"/>
        <w:rPr>
          <w:sz w:val="26"/>
          <w:szCs w:val="26"/>
        </w:rPr>
      </w:pPr>
      <w:bookmarkStart w:id="1" w:name="_Toc375828994"/>
      <w:r w:rsidRPr="002F6B47">
        <w:rPr>
          <w:sz w:val="26"/>
          <w:szCs w:val="26"/>
        </w:rPr>
        <w:t>Trong số các học phần bổ sung kiến thức ở trên nếu</w:t>
      </w:r>
      <w:r>
        <w:rPr>
          <w:sz w:val="26"/>
          <w:szCs w:val="26"/>
        </w:rPr>
        <w:t xml:space="preserve"> </w:t>
      </w:r>
      <w:r w:rsidRPr="002F6B47">
        <w:rPr>
          <w:sz w:val="26"/>
          <w:szCs w:val="26"/>
        </w:rPr>
        <w:t>trong chương trình đào tạo của ngành gần học viên đã học học phần nào đó rồi thì không cần phải học bổ sung kiến thức học phần đó.</w:t>
      </w:r>
      <w:r>
        <w:rPr>
          <w:sz w:val="26"/>
          <w:szCs w:val="26"/>
        </w:rPr>
        <w:t xml:space="preserve"> </w:t>
      </w:r>
      <w:r w:rsidRPr="002F6B47">
        <w:rPr>
          <w:sz w:val="26"/>
          <w:szCs w:val="26"/>
        </w:rPr>
        <w:t xml:space="preserve">Việc học các môn này sẽ được tổ chức lớp riêng hoặc thực hiện cùng với các khoá đào tạo trình độ đại học chính quy </w:t>
      </w:r>
      <w:proofErr w:type="gramStart"/>
      <w:r w:rsidRPr="002F6B47">
        <w:rPr>
          <w:sz w:val="26"/>
          <w:szCs w:val="26"/>
        </w:rPr>
        <w:t>theo</w:t>
      </w:r>
      <w:proofErr w:type="gramEnd"/>
      <w:r w:rsidRPr="002F6B47">
        <w:rPr>
          <w:sz w:val="26"/>
          <w:szCs w:val="26"/>
        </w:rPr>
        <w:t xml:space="preserve"> quy định hiện hành.</w:t>
      </w:r>
    </w:p>
    <w:p w:rsidR="005443A9" w:rsidRPr="00E9797F" w:rsidRDefault="005443A9" w:rsidP="005443A9">
      <w:pPr>
        <w:pStyle w:val="Heading2"/>
        <w:numPr>
          <w:ilvl w:val="0"/>
          <w:numId w:val="5"/>
        </w:numPr>
        <w:spacing w:before="0" w:after="0" w:line="360" w:lineRule="auto"/>
        <w:rPr>
          <w:rFonts w:ascii="Times New Roman" w:hAnsi="Times New Roman"/>
          <w:i w:val="0"/>
          <w:sz w:val="26"/>
          <w:szCs w:val="26"/>
          <w:lang w:val="en-US"/>
        </w:rPr>
      </w:pPr>
      <w:r w:rsidRPr="00E9797F">
        <w:rPr>
          <w:rFonts w:ascii="Times New Roman" w:hAnsi="Times New Roman"/>
          <w:i w:val="0"/>
          <w:sz w:val="26"/>
          <w:szCs w:val="26"/>
        </w:rPr>
        <w:t xml:space="preserve">DANH MỤC </w:t>
      </w:r>
      <w:r w:rsidRPr="00E9797F">
        <w:rPr>
          <w:rFonts w:ascii="Times New Roman" w:hAnsi="Times New Roman"/>
          <w:i w:val="0"/>
          <w:sz w:val="26"/>
          <w:szCs w:val="26"/>
          <w:lang w:val="en-US"/>
        </w:rPr>
        <w:t>HỌC PHẦN BỔ SUNG KIẾN THỨC</w:t>
      </w:r>
    </w:p>
    <w:p w:rsidR="005443A9" w:rsidRPr="009F065F" w:rsidRDefault="005443A9" w:rsidP="005443A9">
      <w:pPr>
        <w:spacing w:line="360" w:lineRule="auto"/>
        <w:ind w:firstLine="390"/>
        <w:jc w:val="both"/>
        <w:rPr>
          <w:sz w:val="26"/>
          <w:szCs w:val="26"/>
        </w:rPr>
      </w:pPr>
      <w:proofErr w:type="gramStart"/>
      <w:r w:rsidRPr="00E9797F">
        <w:rPr>
          <w:sz w:val="26"/>
          <w:szCs w:val="26"/>
        </w:rPr>
        <w:t xml:space="preserve">Đối với những đối tượng đã tốt nghiệp đúng ngành, nhưng quá 05 năm so với thời điểm dự thi phải học bổ sung thêm học phần </w:t>
      </w:r>
      <w:r w:rsidRPr="00652096">
        <w:rPr>
          <w:sz w:val="26"/>
          <w:szCs w:val="26"/>
        </w:rPr>
        <w:t>Lý luận và phương pháp dạy học vật lý (3TC)</w:t>
      </w:r>
      <w:r>
        <w:rPr>
          <w:sz w:val="26"/>
          <w:szCs w:val="26"/>
        </w:rPr>
        <w:t>.</w:t>
      </w:r>
      <w:proofErr w:type="gramEnd"/>
    </w:p>
    <w:p w:rsidR="005443A9" w:rsidRPr="00ED102C" w:rsidRDefault="005443A9" w:rsidP="005443A9">
      <w:pPr>
        <w:rPr>
          <w:highlight w:val="yellow"/>
        </w:rPr>
      </w:pPr>
    </w:p>
    <w:p w:rsidR="005443A9" w:rsidRPr="002F6B47" w:rsidRDefault="005443A9" w:rsidP="005443A9">
      <w:pPr>
        <w:pStyle w:val="Heading2"/>
        <w:numPr>
          <w:ilvl w:val="0"/>
          <w:numId w:val="5"/>
        </w:numPr>
        <w:spacing w:before="0" w:after="0" w:line="360" w:lineRule="auto"/>
        <w:jc w:val="both"/>
        <w:rPr>
          <w:rFonts w:ascii="Times New Roman" w:hAnsi="Times New Roman"/>
          <w:i w:val="0"/>
          <w:sz w:val="26"/>
          <w:szCs w:val="26"/>
        </w:rPr>
      </w:pPr>
      <w:r w:rsidRPr="002F6B47">
        <w:rPr>
          <w:rFonts w:ascii="Times New Roman" w:hAnsi="Times New Roman"/>
          <w:i w:val="0"/>
          <w:sz w:val="26"/>
          <w:szCs w:val="26"/>
        </w:rPr>
        <w:lastRenderedPageBreak/>
        <w:t>ĐIỀU KIỆN DỰ TUYỂN</w:t>
      </w:r>
      <w:bookmarkEnd w:id="1"/>
    </w:p>
    <w:p w:rsidR="005443A9" w:rsidRPr="002F6B47" w:rsidRDefault="005443A9" w:rsidP="005443A9">
      <w:pPr>
        <w:pStyle w:val="Heading3"/>
        <w:numPr>
          <w:ilvl w:val="1"/>
          <w:numId w:val="3"/>
        </w:numPr>
        <w:spacing w:before="0" w:beforeAutospacing="0" w:after="0" w:afterAutospacing="0" w:line="360" w:lineRule="auto"/>
        <w:rPr>
          <w:sz w:val="26"/>
          <w:szCs w:val="26"/>
        </w:rPr>
      </w:pPr>
      <w:bookmarkStart w:id="2" w:name="_Toc375828995"/>
      <w:r w:rsidRPr="002F6B47">
        <w:rPr>
          <w:sz w:val="26"/>
          <w:szCs w:val="26"/>
        </w:rPr>
        <w:t>Về văn bằng</w:t>
      </w:r>
      <w:bookmarkEnd w:id="2"/>
    </w:p>
    <w:p w:rsidR="005443A9" w:rsidRPr="002F6B47" w:rsidRDefault="005443A9" w:rsidP="005443A9">
      <w:pPr>
        <w:spacing w:line="360" w:lineRule="auto"/>
        <w:ind w:firstLine="720"/>
        <w:jc w:val="both"/>
        <w:rPr>
          <w:sz w:val="26"/>
          <w:szCs w:val="26"/>
        </w:rPr>
      </w:pPr>
      <w:r w:rsidRPr="002F6B47">
        <w:rPr>
          <w:sz w:val="26"/>
          <w:szCs w:val="26"/>
        </w:rPr>
        <w:t>- Có bằng tốt nghiệp đại học đúng chuyên ngành sư phạm Vật lý</w:t>
      </w:r>
    </w:p>
    <w:p w:rsidR="005443A9" w:rsidRPr="002F6B47" w:rsidRDefault="005443A9" w:rsidP="005443A9">
      <w:pPr>
        <w:spacing w:line="360" w:lineRule="auto"/>
        <w:ind w:firstLine="720"/>
        <w:jc w:val="both"/>
        <w:rPr>
          <w:sz w:val="26"/>
          <w:szCs w:val="26"/>
        </w:rPr>
      </w:pPr>
      <w:r w:rsidRPr="002F6B47">
        <w:rPr>
          <w:sz w:val="26"/>
          <w:szCs w:val="26"/>
        </w:rPr>
        <w:t>- Có bằng tốt nghiệp chuyên ngành khác nhau</w:t>
      </w:r>
      <w:r>
        <w:rPr>
          <w:sz w:val="26"/>
          <w:szCs w:val="26"/>
        </w:rPr>
        <w:t xml:space="preserve"> </w:t>
      </w:r>
      <w:r w:rsidRPr="002F6B47">
        <w:rPr>
          <w:sz w:val="26"/>
          <w:szCs w:val="26"/>
        </w:rPr>
        <w:t xml:space="preserve">có khối lượng kiến thức (cơ bản, cơ sở, chuyên ngành) trong chương trình đào tạo khác với ngành đào tạo đại học chính quy ngành đúng hoặc phù hợp từ 10-40%; đã học xong các học phần bổ túc kiến thức. Việc học các môn này sẽ được tổ chức lớp riêng hoặc thực hiện cùng với các khoá đào tạo trình độ đại học chính quy </w:t>
      </w:r>
      <w:proofErr w:type="gramStart"/>
      <w:r w:rsidRPr="002F6B47">
        <w:rPr>
          <w:sz w:val="26"/>
          <w:szCs w:val="26"/>
        </w:rPr>
        <w:t>theo</w:t>
      </w:r>
      <w:proofErr w:type="gramEnd"/>
      <w:r w:rsidRPr="002F6B47">
        <w:rPr>
          <w:sz w:val="26"/>
          <w:szCs w:val="26"/>
        </w:rPr>
        <w:t xml:space="preserve"> quy định hiện hành.</w:t>
      </w:r>
    </w:p>
    <w:p w:rsidR="005443A9" w:rsidRPr="002F6B47" w:rsidRDefault="005443A9" w:rsidP="005443A9">
      <w:pPr>
        <w:spacing w:before="120" w:after="120" w:line="360" w:lineRule="auto"/>
        <w:ind w:firstLine="560"/>
        <w:jc w:val="both"/>
        <w:rPr>
          <w:sz w:val="26"/>
          <w:szCs w:val="26"/>
        </w:rPr>
      </w:pPr>
      <w:r w:rsidRPr="002F6B47">
        <w:rPr>
          <w:sz w:val="26"/>
          <w:szCs w:val="26"/>
        </w:rPr>
        <w:t>- Có bằng tốt nghiệp đại học chính qui khác với ngành vật lý và bằng đại học thứ hai không chính qui đúng ngành sư phạm vật lý hoặc cử nhân vật lý các chuyên ngành khác</w:t>
      </w:r>
      <w:r>
        <w:rPr>
          <w:sz w:val="26"/>
          <w:szCs w:val="26"/>
        </w:rPr>
        <w:t xml:space="preserve"> </w:t>
      </w:r>
      <w:r w:rsidRPr="002F6B47">
        <w:rPr>
          <w:sz w:val="26"/>
          <w:szCs w:val="26"/>
        </w:rPr>
        <w:t>có khối lượng kiến thức (cơ bản, cơ sở, chuyên ngành) trong chương trình đào tạo khác với ngành đào tạo đại học chính quy ngành đúng hoặc phù hợp từ</w:t>
      </w:r>
      <w:r>
        <w:rPr>
          <w:sz w:val="26"/>
          <w:szCs w:val="26"/>
        </w:rPr>
        <w:t xml:space="preserve"> </w:t>
      </w:r>
      <w:r w:rsidRPr="002F6B47">
        <w:rPr>
          <w:sz w:val="26"/>
          <w:szCs w:val="26"/>
        </w:rPr>
        <w:t xml:space="preserve">10% đến 40% tổng số tiết học hoặc đơn vị học trình hoặc tín chỉ của khối kiến thức ngành; đã học xong các học phần bổ túc kiến thức. </w:t>
      </w:r>
    </w:p>
    <w:p w:rsidR="005443A9" w:rsidRPr="002F6B47" w:rsidRDefault="005443A9" w:rsidP="005443A9">
      <w:pPr>
        <w:spacing w:line="360" w:lineRule="auto"/>
        <w:ind w:firstLine="720"/>
        <w:jc w:val="both"/>
        <w:rPr>
          <w:b/>
          <w:sz w:val="26"/>
          <w:szCs w:val="26"/>
        </w:rPr>
      </w:pPr>
      <w:r w:rsidRPr="002F6B47">
        <w:rPr>
          <w:spacing w:val="6"/>
          <w:sz w:val="26"/>
          <w:szCs w:val="26"/>
        </w:rPr>
        <w:t>- Có bằng đại học hệ vừa học vừa làm,</w:t>
      </w:r>
      <w:r>
        <w:rPr>
          <w:spacing w:val="6"/>
          <w:sz w:val="26"/>
          <w:szCs w:val="26"/>
        </w:rPr>
        <w:t xml:space="preserve"> </w:t>
      </w:r>
      <w:r w:rsidRPr="002F6B47">
        <w:rPr>
          <w:spacing w:val="6"/>
          <w:sz w:val="26"/>
          <w:szCs w:val="26"/>
        </w:rPr>
        <w:t>đã bổ túc kiến thức các học phần để có trình độ tương đương với hệ chính qui đúng chuyên ngành sư phạm vật lý.</w:t>
      </w:r>
    </w:p>
    <w:p w:rsidR="005443A9" w:rsidRPr="002F6B47" w:rsidRDefault="005443A9" w:rsidP="005443A9">
      <w:pPr>
        <w:pStyle w:val="Heading3"/>
        <w:numPr>
          <w:ilvl w:val="1"/>
          <w:numId w:val="3"/>
        </w:numPr>
        <w:spacing w:before="0" w:beforeAutospacing="0" w:after="0" w:afterAutospacing="0" w:line="360" w:lineRule="auto"/>
        <w:rPr>
          <w:sz w:val="26"/>
          <w:szCs w:val="26"/>
        </w:rPr>
      </w:pPr>
      <w:bookmarkStart w:id="3" w:name="_Toc375828996"/>
      <w:r w:rsidRPr="002F6B47">
        <w:rPr>
          <w:sz w:val="26"/>
          <w:szCs w:val="26"/>
        </w:rPr>
        <w:t>Về kinh nghiệm nghề nghiệp</w:t>
      </w:r>
      <w:bookmarkEnd w:id="3"/>
    </w:p>
    <w:p w:rsidR="005443A9" w:rsidRPr="002F6B47" w:rsidRDefault="005443A9" w:rsidP="005443A9">
      <w:pPr>
        <w:spacing w:line="360" w:lineRule="auto"/>
        <w:ind w:firstLine="600"/>
        <w:jc w:val="both"/>
        <w:rPr>
          <w:sz w:val="26"/>
          <w:szCs w:val="26"/>
        </w:rPr>
      </w:pPr>
      <w:proofErr w:type="gramStart"/>
      <w:r w:rsidRPr="002F6B47">
        <w:rPr>
          <w:sz w:val="26"/>
          <w:szCs w:val="26"/>
        </w:rPr>
        <w:t>Những người có bằng tốt nghiệp ở các trường đại học, có ngành phù hợp với chuyên ngành Lý luận và phương pháp dạy học bộ môn Vật lý xếp loại học lực khá trở lên thì sẽ được dự thi ngay sau khi tốt nghiệp.</w:t>
      </w:r>
      <w:proofErr w:type="gramEnd"/>
    </w:p>
    <w:p w:rsidR="005443A9" w:rsidRPr="002F6B47" w:rsidRDefault="005443A9" w:rsidP="005443A9">
      <w:pPr>
        <w:spacing w:line="360" w:lineRule="auto"/>
        <w:ind w:firstLine="600"/>
        <w:jc w:val="both"/>
        <w:rPr>
          <w:sz w:val="26"/>
          <w:szCs w:val="26"/>
        </w:rPr>
      </w:pPr>
      <w:proofErr w:type="gramStart"/>
      <w:r w:rsidRPr="002F6B47">
        <w:rPr>
          <w:sz w:val="26"/>
          <w:szCs w:val="26"/>
        </w:rPr>
        <w:t>Những đối tượng còn lại phải có ít nhất một năm kinh nghiệm làm việc trong lĩnh vực chuyên môn phù hợp với ngành, chuyên ngành đăng ký dự thi, kể từ ngày có quyết định công nhận tốt nghiệp đại học đến ngày nộp hồ sơ dự thi.</w:t>
      </w:r>
      <w:proofErr w:type="gramEnd"/>
    </w:p>
    <w:p w:rsidR="005443A9" w:rsidRPr="002F6B47" w:rsidRDefault="005443A9" w:rsidP="005443A9">
      <w:pPr>
        <w:pStyle w:val="Heading3"/>
        <w:numPr>
          <w:ilvl w:val="1"/>
          <w:numId w:val="3"/>
        </w:numPr>
        <w:spacing w:before="0" w:beforeAutospacing="0" w:after="0" w:afterAutospacing="0" w:line="360" w:lineRule="auto"/>
        <w:rPr>
          <w:sz w:val="26"/>
          <w:szCs w:val="26"/>
        </w:rPr>
      </w:pPr>
      <w:bookmarkStart w:id="4" w:name="_Toc375828997"/>
      <w:r w:rsidRPr="002F6B47">
        <w:rPr>
          <w:sz w:val="26"/>
          <w:szCs w:val="26"/>
        </w:rPr>
        <w:t>Có đủ sức khoẻ để học tập</w:t>
      </w:r>
      <w:bookmarkEnd w:id="4"/>
    </w:p>
    <w:p w:rsidR="005443A9" w:rsidRPr="002F6B47" w:rsidRDefault="005443A9" w:rsidP="005443A9">
      <w:pPr>
        <w:spacing w:line="360" w:lineRule="auto"/>
        <w:ind w:firstLine="720"/>
        <w:jc w:val="both"/>
        <w:rPr>
          <w:sz w:val="26"/>
          <w:szCs w:val="26"/>
        </w:rPr>
      </w:pPr>
      <w:proofErr w:type="gramStart"/>
      <w:r w:rsidRPr="002F6B47">
        <w:rPr>
          <w:sz w:val="26"/>
          <w:szCs w:val="26"/>
        </w:rPr>
        <w:t>Có giấy xác nhận đủ sức khỏe học tập của cơ quan ý tế có trách nhiệm.</w:t>
      </w:r>
      <w:proofErr w:type="gramEnd"/>
    </w:p>
    <w:p w:rsidR="005443A9" w:rsidRPr="002F6B47" w:rsidRDefault="005443A9" w:rsidP="005443A9">
      <w:pPr>
        <w:pStyle w:val="Heading3"/>
        <w:numPr>
          <w:ilvl w:val="1"/>
          <w:numId w:val="3"/>
        </w:numPr>
        <w:spacing w:before="0" w:beforeAutospacing="0" w:after="0" w:afterAutospacing="0" w:line="360" w:lineRule="auto"/>
        <w:rPr>
          <w:sz w:val="26"/>
          <w:szCs w:val="26"/>
        </w:rPr>
      </w:pPr>
      <w:bookmarkStart w:id="5" w:name="_Toc375828998"/>
      <w:r w:rsidRPr="002F6B47">
        <w:rPr>
          <w:sz w:val="26"/>
          <w:szCs w:val="26"/>
        </w:rPr>
        <w:t>Nộp hồ sơ đầy đủ, đúng thời hạn theo quy định của cơ sở đào tạo</w:t>
      </w:r>
      <w:bookmarkEnd w:id="5"/>
    </w:p>
    <w:p w:rsidR="005443A9" w:rsidRPr="002F6B47" w:rsidRDefault="005443A9" w:rsidP="005443A9">
      <w:pPr>
        <w:pStyle w:val="Heading3"/>
        <w:numPr>
          <w:ilvl w:val="1"/>
          <w:numId w:val="3"/>
        </w:numPr>
        <w:spacing w:before="0" w:beforeAutospacing="0" w:after="0" w:afterAutospacing="0" w:line="360" w:lineRule="auto"/>
        <w:rPr>
          <w:sz w:val="26"/>
          <w:szCs w:val="26"/>
        </w:rPr>
      </w:pPr>
      <w:bookmarkStart w:id="6" w:name="_Toc375828999"/>
      <w:r w:rsidRPr="002F6B47">
        <w:rPr>
          <w:sz w:val="26"/>
          <w:szCs w:val="26"/>
        </w:rPr>
        <w:t>Đối tượng ưu tiên</w:t>
      </w:r>
      <w:bookmarkEnd w:id="6"/>
    </w:p>
    <w:p w:rsidR="005443A9" w:rsidRPr="002F6B47" w:rsidRDefault="005443A9" w:rsidP="005443A9">
      <w:pPr>
        <w:spacing w:before="120" w:after="120" w:line="360" w:lineRule="exact"/>
        <w:ind w:firstLine="560"/>
        <w:jc w:val="both"/>
        <w:rPr>
          <w:color w:val="000000"/>
          <w:sz w:val="26"/>
          <w:szCs w:val="26"/>
        </w:rPr>
      </w:pPr>
      <w:r w:rsidRPr="002F6B47">
        <w:rPr>
          <w:color w:val="000000"/>
          <w:sz w:val="26"/>
          <w:szCs w:val="26"/>
        </w:rPr>
        <w:t>a) Người có thời gian công tác liên tục từ 2 năm trở lên (tính đến ngày hết hạn nộp hồ sơ đăng ký dự thi) tại các địa phương được quy định là Khu vực 1 trong Quy chế tuyển sinh đại học, cao đẳng hệ chính quy hiện hành. Trong trường hợp này, thí sinh phải có quyết định tiếp nhận công tác hoặc điều động, biệt phái công tác của cơ quan, tổ chức có thẩm quyền;</w:t>
      </w:r>
    </w:p>
    <w:p w:rsidR="005443A9" w:rsidRPr="002F6B47" w:rsidRDefault="005443A9" w:rsidP="005443A9">
      <w:pPr>
        <w:spacing w:before="120" w:after="120" w:line="360" w:lineRule="exact"/>
        <w:ind w:firstLine="560"/>
        <w:jc w:val="both"/>
        <w:rPr>
          <w:color w:val="000000"/>
          <w:sz w:val="26"/>
          <w:szCs w:val="26"/>
        </w:rPr>
      </w:pPr>
      <w:r w:rsidRPr="002F6B47">
        <w:rPr>
          <w:color w:val="000000"/>
          <w:sz w:val="26"/>
          <w:szCs w:val="26"/>
        </w:rPr>
        <w:lastRenderedPageBreak/>
        <w:t>b) Th</w:t>
      </w:r>
      <w:r w:rsidRPr="002F6B47">
        <w:rPr>
          <w:color w:val="000000"/>
          <w:sz w:val="26"/>
          <w:szCs w:val="26"/>
        </w:rPr>
        <w:softHyphen/>
        <w:t>ương binh, ng</w:t>
      </w:r>
      <w:r w:rsidRPr="002F6B47">
        <w:rPr>
          <w:color w:val="000000"/>
          <w:sz w:val="26"/>
          <w:szCs w:val="26"/>
        </w:rPr>
        <w:softHyphen/>
        <w:t>ười hư</w:t>
      </w:r>
      <w:r w:rsidRPr="002F6B47">
        <w:rPr>
          <w:color w:val="000000"/>
          <w:sz w:val="26"/>
          <w:szCs w:val="26"/>
        </w:rPr>
        <w:softHyphen/>
        <w:t>ởng chính sách như</w:t>
      </w:r>
      <w:r w:rsidRPr="002F6B47">
        <w:rPr>
          <w:color w:val="000000"/>
          <w:sz w:val="26"/>
          <w:szCs w:val="26"/>
        </w:rPr>
        <w:softHyphen/>
        <w:t xml:space="preserve"> th</w:t>
      </w:r>
      <w:r w:rsidRPr="002F6B47">
        <w:rPr>
          <w:color w:val="000000"/>
          <w:sz w:val="26"/>
          <w:szCs w:val="26"/>
        </w:rPr>
        <w:softHyphen/>
        <w:t>ương binh;</w:t>
      </w:r>
    </w:p>
    <w:p w:rsidR="005443A9" w:rsidRPr="002F6B47" w:rsidRDefault="005443A9" w:rsidP="005443A9">
      <w:pPr>
        <w:spacing w:before="120" w:after="120" w:line="360" w:lineRule="exact"/>
        <w:ind w:firstLine="560"/>
        <w:jc w:val="both"/>
        <w:rPr>
          <w:color w:val="000000"/>
          <w:sz w:val="26"/>
          <w:szCs w:val="26"/>
        </w:rPr>
      </w:pPr>
      <w:r w:rsidRPr="002F6B47">
        <w:rPr>
          <w:color w:val="000000"/>
          <w:sz w:val="26"/>
          <w:szCs w:val="26"/>
        </w:rPr>
        <w:t>c) Con liệt sĩ;</w:t>
      </w:r>
    </w:p>
    <w:p w:rsidR="005443A9" w:rsidRPr="002F6B47" w:rsidRDefault="005443A9" w:rsidP="005443A9">
      <w:pPr>
        <w:spacing w:before="120" w:after="120" w:line="360" w:lineRule="exact"/>
        <w:ind w:firstLine="560"/>
        <w:jc w:val="both"/>
        <w:rPr>
          <w:color w:val="000000"/>
          <w:sz w:val="26"/>
          <w:szCs w:val="26"/>
        </w:rPr>
      </w:pPr>
      <w:r w:rsidRPr="002F6B47">
        <w:rPr>
          <w:color w:val="000000"/>
          <w:sz w:val="26"/>
          <w:szCs w:val="26"/>
        </w:rPr>
        <w:t>d) Anh hùng lực lư</w:t>
      </w:r>
      <w:r w:rsidRPr="002F6B47">
        <w:rPr>
          <w:color w:val="000000"/>
          <w:sz w:val="26"/>
          <w:szCs w:val="26"/>
        </w:rPr>
        <w:softHyphen/>
        <w:t xml:space="preserve">ợng vũ trang, anh hùng </w:t>
      </w:r>
      <w:proofErr w:type="gramStart"/>
      <w:r w:rsidRPr="002F6B47">
        <w:rPr>
          <w:color w:val="000000"/>
          <w:sz w:val="26"/>
          <w:szCs w:val="26"/>
        </w:rPr>
        <w:t>lao</w:t>
      </w:r>
      <w:proofErr w:type="gramEnd"/>
      <w:r w:rsidRPr="002F6B47">
        <w:rPr>
          <w:color w:val="000000"/>
          <w:sz w:val="26"/>
          <w:szCs w:val="26"/>
        </w:rPr>
        <w:t xml:space="preserve"> động;</w:t>
      </w:r>
    </w:p>
    <w:p w:rsidR="005443A9" w:rsidRPr="002F6B47" w:rsidRDefault="005443A9" w:rsidP="005443A9">
      <w:pPr>
        <w:spacing w:before="120" w:after="120" w:line="360" w:lineRule="exact"/>
        <w:ind w:firstLine="560"/>
        <w:jc w:val="both"/>
        <w:rPr>
          <w:spacing w:val="-4"/>
          <w:sz w:val="26"/>
          <w:szCs w:val="26"/>
        </w:rPr>
      </w:pPr>
      <w:r w:rsidRPr="002F6B47">
        <w:rPr>
          <w:color w:val="000000"/>
          <w:spacing w:val="-4"/>
          <w:sz w:val="26"/>
          <w:szCs w:val="26"/>
        </w:rPr>
        <w:t xml:space="preserve">e) Người dân tộc thiểu </w:t>
      </w:r>
      <w:r w:rsidRPr="002F6B47">
        <w:rPr>
          <w:spacing w:val="-4"/>
          <w:sz w:val="26"/>
          <w:szCs w:val="26"/>
        </w:rPr>
        <w:t xml:space="preserve">số </w:t>
      </w:r>
      <w:r w:rsidRPr="002F6B47">
        <w:rPr>
          <w:sz w:val="26"/>
          <w:szCs w:val="26"/>
        </w:rPr>
        <w:t xml:space="preserve">có hộ khẩu thường trú từ 2 năm trở lên </w:t>
      </w:r>
      <w:r w:rsidRPr="002F6B47">
        <w:rPr>
          <w:spacing w:val="-4"/>
          <w:sz w:val="26"/>
          <w:szCs w:val="26"/>
        </w:rPr>
        <w:t>ở địa phương được quy định tại Điểm a, mục này;</w:t>
      </w:r>
    </w:p>
    <w:p w:rsidR="005443A9" w:rsidRPr="002F6B47" w:rsidRDefault="005443A9" w:rsidP="005443A9">
      <w:pPr>
        <w:spacing w:before="120" w:after="120" w:line="360" w:lineRule="exact"/>
        <w:ind w:firstLine="560"/>
        <w:jc w:val="both"/>
        <w:rPr>
          <w:sz w:val="26"/>
          <w:szCs w:val="26"/>
        </w:rPr>
      </w:pPr>
      <w:r w:rsidRPr="002F6B47">
        <w:rPr>
          <w:spacing w:val="-6"/>
          <w:sz w:val="26"/>
          <w:szCs w:val="26"/>
        </w:rPr>
        <w:t xml:space="preserve">f) </w:t>
      </w:r>
      <w:r w:rsidRPr="002F6B47">
        <w:rPr>
          <w:sz w:val="26"/>
          <w:szCs w:val="26"/>
        </w:rPr>
        <w:t xml:space="preserve">Con đẻ của người hoạt động kháng chiến bị nhiễm chất độc hoá học, được Uỷ ban nhân dân cấp tỉnh công nhận bị dị dạng, dị tật, suy giảm khả năng tự lực trong sinh hoạt, </w:t>
      </w:r>
      <w:proofErr w:type="gramStart"/>
      <w:r w:rsidRPr="002F6B47">
        <w:rPr>
          <w:sz w:val="26"/>
          <w:szCs w:val="26"/>
        </w:rPr>
        <w:t>học</w:t>
      </w:r>
      <w:proofErr w:type="gramEnd"/>
      <w:r w:rsidRPr="002F6B47">
        <w:rPr>
          <w:sz w:val="26"/>
          <w:szCs w:val="26"/>
        </w:rPr>
        <w:t xml:space="preserve"> tập do hậu quả của chất độc hoá học</w:t>
      </w:r>
      <w:r w:rsidRPr="002F6B47">
        <w:rPr>
          <w:spacing w:val="-6"/>
          <w:sz w:val="26"/>
          <w:szCs w:val="26"/>
        </w:rPr>
        <w:t>.</w:t>
      </w:r>
    </w:p>
    <w:p w:rsidR="005443A9" w:rsidRPr="002F6B47" w:rsidRDefault="005443A9" w:rsidP="005443A9">
      <w:pPr>
        <w:spacing w:line="360" w:lineRule="auto"/>
        <w:ind w:firstLine="720"/>
        <w:jc w:val="both"/>
        <w:rPr>
          <w:color w:val="000000"/>
          <w:sz w:val="26"/>
          <w:szCs w:val="26"/>
        </w:rPr>
      </w:pPr>
      <w:proofErr w:type="gramStart"/>
      <w:r w:rsidRPr="002F6B47">
        <w:rPr>
          <w:color w:val="000000"/>
          <w:sz w:val="26"/>
          <w:szCs w:val="26"/>
        </w:rPr>
        <w:t>Người dự thi thuộc đối tượng ưu tiên được cộng vào kết quả thi mười điểm cho môn ngoại ngữ (thang điểm 100) nếu không thuộc diện được miễn thi ngoại ngữ và cộng một điểm (thang điểm 10) cho một trong hai môn thi hoặc kiểm tra.</w:t>
      </w:r>
      <w:proofErr w:type="gramEnd"/>
    </w:p>
    <w:p w:rsidR="005443A9" w:rsidRPr="002F6B47" w:rsidRDefault="005443A9" w:rsidP="005443A9">
      <w:pPr>
        <w:spacing w:line="360" w:lineRule="auto"/>
        <w:ind w:firstLine="720"/>
        <w:jc w:val="both"/>
        <w:rPr>
          <w:b/>
          <w:spacing w:val="-14"/>
          <w:sz w:val="14"/>
          <w:szCs w:val="26"/>
        </w:rPr>
      </w:pPr>
    </w:p>
    <w:p w:rsidR="005443A9" w:rsidRPr="002F6B47" w:rsidRDefault="005443A9" w:rsidP="005443A9">
      <w:pPr>
        <w:pStyle w:val="Heading2"/>
        <w:numPr>
          <w:ilvl w:val="1"/>
          <w:numId w:val="3"/>
        </w:numPr>
        <w:spacing w:before="0" w:after="0" w:line="360" w:lineRule="auto"/>
        <w:rPr>
          <w:rFonts w:ascii="Times New Roman" w:hAnsi="Times New Roman"/>
          <w:i w:val="0"/>
          <w:sz w:val="26"/>
          <w:szCs w:val="26"/>
        </w:rPr>
      </w:pPr>
      <w:bookmarkStart w:id="7" w:name="_Toc375829000"/>
      <w:r w:rsidRPr="002F6B47">
        <w:rPr>
          <w:rFonts w:ascii="Times New Roman" w:hAnsi="Times New Roman"/>
          <w:i w:val="0"/>
          <w:sz w:val="26"/>
          <w:szCs w:val="26"/>
        </w:rPr>
        <w:t>HÌNH THỨC TUYỂN SINH VÀ CÁC MÔN THI TUYỂN</w:t>
      </w:r>
      <w:bookmarkEnd w:id="7"/>
    </w:p>
    <w:p w:rsidR="005443A9" w:rsidRPr="002F6B47" w:rsidRDefault="005443A9" w:rsidP="005443A9">
      <w:pPr>
        <w:spacing w:line="360" w:lineRule="auto"/>
        <w:ind w:firstLine="601"/>
        <w:jc w:val="both"/>
        <w:rPr>
          <w:bCs/>
          <w:sz w:val="26"/>
          <w:szCs w:val="26"/>
        </w:rPr>
      </w:pPr>
      <w:r w:rsidRPr="002F6B47">
        <w:rPr>
          <w:bCs/>
          <w:sz w:val="26"/>
          <w:szCs w:val="26"/>
        </w:rPr>
        <w:t xml:space="preserve">Thí sinh tham gia thi tuyển các môn: </w:t>
      </w:r>
    </w:p>
    <w:p w:rsidR="005443A9" w:rsidRPr="002F6B47" w:rsidRDefault="005443A9" w:rsidP="005443A9">
      <w:pPr>
        <w:spacing w:line="360" w:lineRule="auto"/>
        <w:ind w:firstLine="601"/>
        <w:jc w:val="both"/>
        <w:rPr>
          <w:bCs/>
          <w:sz w:val="26"/>
          <w:szCs w:val="26"/>
        </w:rPr>
      </w:pPr>
      <w:r w:rsidRPr="002F6B47">
        <w:rPr>
          <w:bCs/>
          <w:sz w:val="26"/>
          <w:szCs w:val="26"/>
        </w:rPr>
        <w:t xml:space="preserve">1. </w:t>
      </w:r>
      <w:r w:rsidRPr="002F6B47">
        <w:rPr>
          <w:b/>
          <w:bCs/>
          <w:sz w:val="26"/>
          <w:szCs w:val="26"/>
        </w:rPr>
        <w:t>Môn cơ bản</w:t>
      </w:r>
      <w:r w:rsidRPr="002F6B47">
        <w:rPr>
          <w:bCs/>
          <w:sz w:val="26"/>
          <w:szCs w:val="26"/>
        </w:rPr>
        <w:t>: Lý luận và phương pháp dạy học vật lý ở phổ thông</w:t>
      </w:r>
    </w:p>
    <w:p w:rsidR="005443A9" w:rsidRPr="002F6B47" w:rsidRDefault="005443A9" w:rsidP="005443A9">
      <w:pPr>
        <w:spacing w:line="360" w:lineRule="auto"/>
        <w:ind w:firstLine="601"/>
        <w:jc w:val="both"/>
        <w:rPr>
          <w:bCs/>
          <w:sz w:val="26"/>
          <w:szCs w:val="26"/>
        </w:rPr>
      </w:pPr>
      <w:r w:rsidRPr="002F6B47">
        <w:rPr>
          <w:bCs/>
          <w:sz w:val="26"/>
          <w:szCs w:val="26"/>
        </w:rPr>
        <w:t xml:space="preserve">2. </w:t>
      </w:r>
      <w:r w:rsidRPr="002F6B47">
        <w:rPr>
          <w:b/>
          <w:bCs/>
          <w:sz w:val="26"/>
          <w:szCs w:val="26"/>
        </w:rPr>
        <w:t>Môn cơ sở</w:t>
      </w:r>
      <w:r w:rsidRPr="002F6B47">
        <w:rPr>
          <w:bCs/>
          <w:sz w:val="26"/>
          <w:szCs w:val="26"/>
        </w:rPr>
        <w:t>: Vật lý đại cương</w:t>
      </w:r>
    </w:p>
    <w:p w:rsidR="005443A9" w:rsidRPr="002F6B47" w:rsidRDefault="005443A9" w:rsidP="005443A9">
      <w:pPr>
        <w:spacing w:line="360" w:lineRule="auto"/>
        <w:ind w:firstLine="601"/>
        <w:jc w:val="both"/>
        <w:rPr>
          <w:bCs/>
          <w:sz w:val="26"/>
          <w:szCs w:val="26"/>
        </w:rPr>
      </w:pPr>
      <w:r w:rsidRPr="002F6B47">
        <w:rPr>
          <w:bCs/>
          <w:sz w:val="26"/>
          <w:szCs w:val="26"/>
        </w:rPr>
        <w:t xml:space="preserve">3. </w:t>
      </w:r>
      <w:r w:rsidRPr="002F6B47">
        <w:rPr>
          <w:b/>
          <w:bCs/>
          <w:sz w:val="26"/>
          <w:szCs w:val="26"/>
        </w:rPr>
        <w:t>Môn điều kiện</w:t>
      </w:r>
      <w:r w:rsidRPr="002F6B47">
        <w:rPr>
          <w:bCs/>
          <w:sz w:val="26"/>
          <w:szCs w:val="26"/>
        </w:rPr>
        <w:t xml:space="preserve">: Ngoại ngữ, theo thông tư </w:t>
      </w:r>
      <w:r w:rsidRPr="002F6B47">
        <w:rPr>
          <w:rFonts w:eastAsia="SimSun"/>
          <w:iCs/>
          <w:color w:val="000000"/>
          <w:sz w:val="26"/>
          <w:szCs w:val="26"/>
          <w:lang w:eastAsia="zh-CN"/>
        </w:rPr>
        <w:t xml:space="preserve">số: </w:t>
      </w:r>
      <w:r w:rsidRPr="002F6B47">
        <w:rPr>
          <w:rFonts w:eastAsia="SimSun"/>
          <w:i/>
          <w:iCs/>
          <w:color w:val="000000"/>
          <w:sz w:val="26"/>
          <w:szCs w:val="26"/>
          <w:lang w:eastAsia="zh-CN"/>
        </w:rPr>
        <w:t>15/2014/TT-BGDĐT</w:t>
      </w:r>
      <w:r>
        <w:rPr>
          <w:rFonts w:eastAsia="SimSun"/>
          <w:i/>
          <w:iCs/>
          <w:color w:val="000000"/>
          <w:sz w:val="26"/>
          <w:szCs w:val="26"/>
          <w:lang w:eastAsia="zh-CN"/>
        </w:rPr>
        <w:t xml:space="preserve"> </w:t>
      </w:r>
      <w:r w:rsidRPr="002F6B47">
        <w:rPr>
          <w:rFonts w:eastAsia="SimSun"/>
          <w:iCs/>
          <w:color w:val="000000"/>
          <w:sz w:val="26"/>
          <w:szCs w:val="26"/>
          <w:lang w:eastAsia="zh-CN"/>
        </w:rPr>
        <w:t xml:space="preserve">ngày 15 tháng 5 năm 2014 của Bộ trưởng Bộ Giáo dục và Đào tạovề </w:t>
      </w:r>
      <w:r w:rsidRPr="002F6B47">
        <w:rPr>
          <w:sz w:val="26"/>
          <w:szCs w:val="26"/>
        </w:rPr>
        <w:t>Quy chế đào tạo trình độ thạc sĩ.</w:t>
      </w:r>
    </w:p>
    <w:p w:rsidR="005443A9" w:rsidRPr="002F6B47" w:rsidRDefault="005443A9" w:rsidP="005443A9">
      <w:pPr>
        <w:pStyle w:val="Heading2"/>
        <w:numPr>
          <w:ilvl w:val="1"/>
          <w:numId w:val="3"/>
        </w:numPr>
        <w:rPr>
          <w:rFonts w:ascii="Times New Roman" w:hAnsi="Times New Roman"/>
          <w:i w:val="0"/>
        </w:rPr>
      </w:pPr>
      <w:r w:rsidRPr="002F6B47">
        <w:rPr>
          <w:rFonts w:ascii="Times New Roman" w:hAnsi="Times New Roman"/>
          <w:i w:val="0"/>
        </w:rPr>
        <w:t>ĐIỀU KIỆN TRÚNG TUYỂN</w:t>
      </w:r>
    </w:p>
    <w:p w:rsidR="005443A9" w:rsidRPr="002F6B47" w:rsidRDefault="005443A9" w:rsidP="005443A9">
      <w:pPr>
        <w:spacing w:line="360" w:lineRule="auto"/>
        <w:ind w:firstLine="560"/>
        <w:jc w:val="both"/>
        <w:rPr>
          <w:sz w:val="26"/>
          <w:szCs w:val="26"/>
          <w:lang w:eastAsia="ja-JP"/>
        </w:rPr>
      </w:pPr>
      <w:r w:rsidRPr="002F6B47">
        <w:rPr>
          <w:sz w:val="26"/>
          <w:szCs w:val="26"/>
        </w:rPr>
        <w:t>a.</w:t>
      </w:r>
      <w:r>
        <w:rPr>
          <w:sz w:val="26"/>
          <w:szCs w:val="26"/>
        </w:rPr>
        <w:t xml:space="preserve"> </w:t>
      </w:r>
      <w:r w:rsidRPr="002F6B47">
        <w:rPr>
          <w:sz w:val="26"/>
          <w:szCs w:val="26"/>
        </w:rPr>
        <w:t xml:space="preserve">Thí sinh phải tham gia thi tuyển các môn: Ngoại ngữ, </w:t>
      </w:r>
      <w:r w:rsidRPr="002F6B47">
        <w:rPr>
          <w:sz w:val="26"/>
          <w:szCs w:val="26"/>
          <w:lang w:eastAsia="ja-JP"/>
        </w:rPr>
        <w:t>Lý luận và phương pháp dạy học bộ môn Vật lý, Vật lý đại cương.</w:t>
      </w:r>
    </w:p>
    <w:p w:rsidR="005443A9" w:rsidRPr="002F6B47" w:rsidRDefault="005443A9" w:rsidP="005443A9">
      <w:pPr>
        <w:autoSpaceDE w:val="0"/>
        <w:autoSpaceDN w:val="0"/>
        <w:adjustRightInd w:val="0"/>
        <w:spacing w:before="120" w:after="120" w:line="360" w:lineRule="exact"/>
        <w:ind w:firstLine="560"/>
        <w:jc w:val="both"/>
        <w:rPr>
          <w:sz w:val="26"/>
          <w:szCs w:val="26"/>
          <w:lang w:eastAsia="ja-JP"/>
        </w:rPr>
      </w:pPr>
      <w:r w:rsidRPr="002F6B47">
        <w:rPr>
          <w:color w:val="000000"/>
          <w:sz w:val="26"/>
          <w:szCs w:val="26"/>
        </w:rPr>
        <w:t xml:space="preserve">b. Thí sinh thuộc diện xét trúng tuyển phải đạt 50% của thang điểm đối với mỗi môn thi (sau khi đã cộng điểm ưu tiên, nếu có). </w:t>
      </w:r>
      <w:r w:rsidRPr="002F6B47">
        <w:rPr>
          <w:color w:val="000000"/>
          <w:spacing w:val="-4"/>
          <w:sz w:val="26"/>
        </w:rPr>
        <w:t xml:space="preserve">Căn cứ vào chỉ tiêu đã được thông báo và tổng điểm hai môn thi của từng thí sinh (không cộng điểm môn ngoại ngữ), </w:t>
      </w:r>
      <w:r w:rsidRPr="002F6B47">
        <w:rPr>
          <w:color w:val="000000"/>
          <w:sz w:val="26"/>
        </w:rPr>
        <w:t xml:space="preserve">hội đồng tuyển sinh </w:t>
      </w:r>
      <w:r w:rsidRPr="002F6B47">
        <w:rPr>
          <w:color w:val="000000"/>
          <w:spacing w:val="-4"/>
          <w:sz w:val="26"/>
        </w:rPr>
        <w:t xml:space="preserve">xác định phương </w:t>
      </w:r>
      <w:proofErr w:type="gramStart"/>
      <w:r w:rsidRPr="002F6B47">
        <w:rPr>
          <w:color w:val="000000"/>
          <w:spacing w:val="-4"/>
          <w:sz w:val="26"/>
        </w:rPr>
        <w:t>án</w:t>
      </w:r>
      <w:proofErr w:type="gramEnd"/>
      <w:r w:rsidRPr="002F6B47">
        <w:rPr>
          <w:color w:val="000000"/>
          <w:spacing w:val="-4"/>
          <w:sz w:val="26"/>
        </w:rPr>
        <w:t xml:space="preserve"> điểm trúng tuyển. </w:t>
      </w:r>
    </w:p>
    <w:p w:rsidR="005443A9" w:rsidRPr="002F6B47" w:rsidRDefault="005443A9" w:rsidP="005443A9">
      <w:pPr>
        <w:spacing w:line="360" w:lineRule="auto"/>
        <w:ind w:firstLine="560"/>
        <w:jc w:val="both"/>
        <w:rPr>
          <w:sz w:val="26"/>
          <w:szCs w:val="26"/>
        </w:rPr>
      </w:pPr>
      <w:r w:rsidRPr="002F6B47">
        <w:rPr>
          <w:i/>
          <w:sz w:val="26"/>
          <w:szCs w:val="26"/>
        </w:rPr>
        <w:t>Các trường hợp xét miễn thi ngoại ngữ</w:t>
      </w:r>
      <w:r w:rsidRPr="002F6B47">
        <w:rPr>
          <w:sz w:val="26"/>
          <w:szCs w:val="26"/>
        </w:rPr>
        <w:t xml:space="preserve">: </w:t>
      </w:r>
    </w:p>
    <w:p w:rsidR="005443A9" w:rsidRPr="002F6B47" w:rsidRDefault="005443A9" w:rsidP="005443A9">
      <w:pPr>
        <w:spacing w:before="120" w:after="120" w:line="360" w:lineRule="exact"/>
        <w:ind w:firstLine="560"/>
        <w:jc w:val="both"/>
        <w:rPr>
          <w:color w:val="000000"/>
          <w:sz w:val="26"/>
          <w:szCs w:val="26"/>
        </w:rPr>
      </w:pPr>
      <w:r w:rsidRPr="002F6B47">
        <w:rPr>
          <w:color w:val="000000"/>
          <w:sz w:val="26"/>
          <w:szCs w:val="26"/>
        </w:rPr>
        <w:t xml:space="preserve">- Có bằng tốt nghiệp đại học, thạc sĩ, tiến sĩ được đào tạo toàn thời gian ở nước ngoài, được cơ quan có thẩm quyền công nhận văn bằng </w:t>
      </w:r>
      <w:proofErr w:type="gramStart"/>
      <w:r w:rsidRPr="002F6B47">
        <w:rPr>
          <w:color w:val="000000"/>
          <w:sz w:val="26"/>
          <w:szCs w:val="26"/>
        </w:rPr>
        <w:t>theo</w:t>
      </w:r>
      <w:proofErr w:type="gramEnd"/>
      <w:r w:rsidRPr="002F6B47">
        <w:rPr>
          <w:color w:val="000000"/>
          <w:sz w:val="26"/>
          <w:szCs w:val="26"/>
        </w:rPr>
        <w:t xml:space="preserve"> quy định hiện hành;</w:t>
      </w:r>
    </w:p>
    <w:p w:rsidR="005443A9" w:rsidRPr="002F6B47" w:rsidRDefault="005443A9" w:rsidP="005443A9">
      <w:pPr>
        <w:spacing w:before="120" w:after="120" w:line="360" w:lineRule="exact"/>
        <w:ind w:firstLine="560"/>
        <w:jc w:val="both"/>
        <w:rPr>
          <w:sz w:val="26"/>
          <w:szCs w:val="26"/>
        </w:rPr>
      </w:pPr>
      <w:r w:rsidRPr="002F6B47">
        <w:rPr>
          <w:color w:val="000000"/>
          <w:sz w:val="26"/>
          <w:szCs w:val="26"/>
        </w:rPr>
        <w:t xml:space="preserve">- Có bằng tốt </w:t>
      </w:r>
      <w:r w:rsidRPr="002F6B47">
        <w:rPr>
          <w:sz w:val="26"/>
          <w:szCs w:val="26"/>
        </w:rPr>
        <w:t>nghiệp đại học chương trình tiên tiến theo Đề án của Bộ Giáo dục và Đào tạo về đào tạo chương trình tiên tiến ở một số trường đại học của Việt Nam hoặc bằng kỹ sư chất lượng cao (PFIEV) được ủy ban bằng cấp kỹ sư (CTI, Pháp) công nhận, có đối tác nước ngoài cùng cấp bằng;</w:t>
      </w:r>
    </w:p>
    <w:p w:rsidR="005443A9" w:rsidRPr="002F6B47" w:rsidRDefault="005443A9" w:rsidP="005443A9">
      <w:pPr>
        <w:spacing w:line="360" w:lineRule="auto"/>
        <w:ind w:firstLine="720"/>
        <w:jc w:val="both"/>
        <w:rPr>
          <w:sz w:val="26"/>
          <w:szCs w:val="26"/>
        </w:rPr>
      </w:pPr>
      <w:r w:rsidRPr="002F6B47">
        <w:rPr>
          <w:sz w:val="26"/>
          <w:szCs w:val="26"/>
        </w:rPr>
        <w:lastRenderedPageBreak/>
        <w:t xml:space="preserve">- Có chứng chỉ trình độ ngoại ngữ tương đương cấp B1 hoặc bậc 3/6 trở lên </w:t>
      </w:r>
      <w:proofErr w:type="gramStart"/>
      <w:r w:rsidRPr="002F6B47">
        <w:rPr>
          <w:sz w:val="26"/>
          <w:szCs w:val="26"/>
        </w:rPr>
        <w:t>theo</w:t>
      </w:r>
      <w:proofErr w:type="gramEnd"/>
      <w:r w:rsidRPr="002F6B47">
        <w:rPr>
          <w:sz w:val="26"/>
          <w:szCs w:val="26"/>
        </w:rPr>
        <w:t xml:space="preserve"> Khung tham khảo Châu Âu chung về ngoại ngữ dưới đây (được cấp trong vòng 2 năm tính từ ngày nộp hồ sơ):</w:t>
      </w:r>
    </w:p>
    <w:p w:rsidR="005443A9" w:rsidRPr="002F6B47" w:rsidRDefault="005443A9" w:rsidP="005443A9">
      <w:pPr>
        <w:tabs>
          <w:tab w:val="left" w:pos="855"/>
        </w:tabs>
        <w:rPr>
          <w:b/>
          <w:color w:val="000000"/>
        </w:rPr>
      </w:pPr>
      <w:r w:rsidRPr="002F6B47">
        <w:rPr>
          <w:b/>
          <w:color w:val="000000"/>
        </w:rPr>
        <w:t>Tiếng Anh</w:t>
      </w:r>
    </w:p>
    <w:p w:rsidR="005443A9" w:rsidRPr="002F6B47" w:rsidRDefault="005443A9" w:rsidP="005443A9">
      <w:pPr>
        <w:tabs>
          <w:tab w:val="left" w:pos="855"/>
        </w:tabs>
        <w:rPr>
          <w:b/>
          <w:color w:val="000000"/>
        </w:rPr>
      </w:pPr>
    </w:p>
    <w:tbl>
      <w:tblPr>
        <w:tblW w:w="978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999"/>
        <w:gridCol w:w="1557"/>
        <w:gridCol w:w="982"/>
        <w:gridCol w:w="1401"/>
        <w:gridCol w:w="1541"/>
        <w:gridCol w:w="1305"/>
        <w:gridCol w:w="877"/>
      </w:tblGrid>
      <w:tr w:rsidR="005443A9" w:rsidRPr="002F6B47" w:rsidTr="009039BD">
        <w:tc>
          <w:tcPr>
            <w:tcW w:w="1122" w:type="dxa"/>
            <w:vAlign w:val="center"/>
          </w:tcPr>
          <w:p w:rsidR="005443A9" w:rsidRPr="002F6B47" w:rsidRDefault="005443A9" w:rsidP="00217010">
            <w:pPr>
              <w:jc w:val="center"/>
              <w:rPr>
                <w:rFonts w:eastAsia="MS Mincho"/>
                <w:color w:val="000000"/>
                <w:sz w:val="26"/>
                <w:szCs w:val="26"/>
              </w:rPr>
            </w:pPr>
            <w:r w:rsidRPr="002F6B47">
              <w:rPr>
                <w:rFonts w:eastAsia="MS Mincho"/>
                <w:color w:val="000000"/>
                <w:sz w:val="26"/>
                <w:szCs w:val="26"/>
              </w:rPr>
              <w:t xml:space="preserve">Khung năng lực </w:t>
            </w:r>
          </w:p>
          <w:p w:rsidR="005443A9" w:rsidRPr="002F6B47" w:rsidRDefault="005443A9" w:rsidP="00217010">
            <w:pPr>
              <w:jc w:val="center"/>
              <w:rPr>
                <w:rFonts w:eastAsia="MS Mincho"/>
                <w:color w:val="000000"/>
                <w:sz w:val="26"/>
                <w:szCs w:val="26"/>
              </w:rPr>
            </w:pPr>
            <w:r w:rsidRPr="002F6B47">
              <w:rPr>
                <w:rFonts w:eastAsia="MS Mincho"/>
                <w:color w:val="000000"/>
                <w:sz w:val="26"/>
                <w:szCs w:val="26"/>
              </w:rPr>
              <w:t xml:space="preserve">ngoại ngữ </w:t>
            </w:r>
          </w:p>
          <w:p w:rsidR="005443A9" w:rsidRPr="002F6B47" w:rsidRDefault="005443A9" w:rsidP="00217010">
            <w:pPr>
              <w:jc w:val="center"/>
              <w:rPr>
                <w:rFonts w:eastAsia="MS Mincho"/>
                <w:b/>
                <w:color w:val="000000"/>
                <w:sz w:val="26"/>
                <w:szCs w:val="26"/>
              </w:rPr>
            </w:pPr>
            <w:r w:rsidRPr="002F6B47">
              <w:rPr>
                <w:rFonts w:eastAsia="MS Mincho"/>
                <w:color w:val="000000"/>
                <w:sz w:val="26"/>
                <w:szCs w:val="26"/>
              </w:rPr>
              <w:t xml:space="preserve">VN  </w:t>
            </w:r>
          </w:p>
        </w:tc>
        <w:tc>
          <w:tcPr>
            <w:tcW w:w="999" w:type="dxa"/>
            <w:vAlign w:val="center"/>
          </w:tcPr>
          <w:p w:rsidR="005443A9" w:rsidRPr="002F6B47" w:rsidRDefault="005443A9" w:rsidP="00217010">
            <w:pPr>
              <w:spacing w:before="120" w:after="120"/>
              <w:jc w:val="center"/>
              <w:rPr>
                <w:rFonts w:eastAsia="MS Mincho"/>
                <w:color w:val="000000"/>
                <w:sz w:val="26"/>
                <w:szCs w:val="26"/>
              </w:rPr>
            </w:pPr>
            <w:r w:rsidRPr="002F6B47">
              <w:rPr>
                <w:rFonts w:eastAsia="MS Mincho"/>
                <w:color w:val="000000"/>
                <w:sz w:val="26"/>
                <w:szCs w:val="26"/>
              </w:rPr>
              <w:t>IELTS</w:t>
            </w:r>
          </w:p>
        </w:tc>
        <w:tc>
          <w:tcPr>
            <w:tcW w:w="1557" w:type="dxa"/>
            <w:vAlign w:val="center"/>
          </w:tcPr>
          <w:p w:rsidR="005443A9" w:rsidRPr="002F6B47" w:rsidRDefault="005443A9" w:rsidP="00217010">
            <w:pPr>
              <w:spacing w:before="120" w:after="120"/>
              <w:jc w:val="center"/>
              <w:rPr>
                <w:rFonts w:eastAsia="MS Mincho"/>
                <w:color w:val="000000"/>
                <w:sz w:val="26"/>
                <w:szCs w:val="26"/>
              </w:rPr>
            </w:pPr>
            <w:r w:rsidRPr="002F6B47">
              <w:rPr>
                <w:rFonts w:eastAsia="MS Mincho"/>
                <w:color w:val="000000"/>
                <w:sz w:val="26"/>
                <w:szCs w:val="26"/>
              </w:rPr>
              <w:t>TOEFL</w:t>
            </w:r>
          </w:p>
        </w:tc>
        <w:tc>
          <w:tcPr>
            <w:tcW w:w="982" w:type="dxa"/>
            <w:vAlign w:val="center"/>
          </w:tcPr>
          <w:p w:rsidR="005443A9" w:rsidRPr="002F6B47" w:rsidRDefault="005443A9" w:rsidP="00217010">
            <w:pPr>
              <w:spacing w:before="120" w:after="120"/>
              <w:jc w:val="center"/>
              <w:rPr>
                <w:rFonts w:eastAsia="MS Mincho"/>
                <w:color w:val="000000"/>
                <w:sz w:val="26"/>
                <w:szCs w:val="26"/>
              </w:rPr>
            </w:pPr>
            <w:r w:rsidRPr="002F6B47">
              <w:rPr>
                <w:rFonts w:eastAsia="MS Mincho"/>
                <w:color w:val="000000"/>
                <w:sz w:val="26"/>
                <w:szCs w:val="26"/>
              </w:rPr>
              <w:t>TOEIC</w:t>
            </w:r>
          </w:p>
        </w:tc>
        <w:tc>
          <w:tcPr>
            <w:tcW w:w="1401" w:type="dxa"/>
            <w:vAlign w:val="center"/>
          </w:tcPr>
          <w:p w:rsidR="005443A9" w:rsidRPr="002F6B47" w:rsidRDefault="005443A9" w:rsidP="00217010">
            <w:pPr>
              <w:spacing w:before="120" w:after="120"/>
              <w:jc w:val="center"/>
              <w:rPr>
                <w:rFonts w:eastAsia="MS Mincho"/>
                <w:color w:val="000000"/>
                <w:sz w:val="26"/>
                <w:szCs w:val="26"/>
              </w:rPr>
            </w:pPr>
            <w:smartTag w:uri="urn:schemas-microsoft-com:office:smarttags" w:element="City">
              <w:smartTag w:uri="urn:schemas-microsoft-com:office:smarttags" w:element="place">
                <w:r w:rsidRPr="002F6B47">
                  <w:rPr>
                    <w:rFonts w:eastAsia="MS Mincho"/>
                    <w:color w:val="000000"/>
                    <w:sz w:val="26"/>
                    <w:szCs w:val="26"/>
                  </w:rPr>
                  <w:t>Cambridge</w:t>
                </w:r>
              </w:smartTag>
            </w:smartTag>
            <w:r w:rsidRPr="002F6B47">
              <w:rPr>
                <w:rFonts w:eastAsia="MS Mincho"/>
                <w:color w:val="000000"/>
                <w:sz w:val="26"/>
                <w:szCs w:val="26"/>
              </w:rPr>
              <w:t xml:space="preserve"> Exam</w:t>
            </w:r>
          </w:p>
        </w:tc>
        <w:tc>
          <w:tcPr>
            <w:tcW w:w="1541" w:type="dxa"/>
            <w:vAlign w:val="center"/>
          </w:tcPr>
          <w:p w:rsidR="005443A9" w:rsidRPr="002F6B47" w:rsidRDefault="005443A9" w:rsidP="00217010">
            <w:pPr>
              <w:spacing w:before="120" w:after="120"/>
              <w:jc w:val="center"/>
              <w:rPr>
                <w:rFonts w:eastAsia="MS Mincho"/>
                <w:color w:val="000000"/>
                <w:sz w:val="26"/>
                <w:szCs w:val="26"/>
              </w:rPr>
            </w:pPr>
            <w:r w:rsidRPr="002F6B47">
              <w:rPr>
                <w:rFonts w:eastAsia="MS Mincho"/>
                <w:color w:val="000000"/>
                <w:sz w:val="26"/>
                <w:szCs w:val="26"/>
              </w:rPr>
              <w:t>BEC</w:t>
            </w:r>
          </w:p>
        </w:tc>
        <w:tc>
          <w:tcPr>
            <w:tcW w:w="1305" w:type="dxa"/>
            <w:vAlign w:val="center"/>
          </w:tcPr>
          <w:p w:rsidR="005443A9" w:rsidRPr="002F6B47" w:rsidRDefault="005443A9" w:rsidP="00217010">
            <w:pPr>
              <w:spacing w:before="120" w:after="120"/>
              <w:jc w:val="center"/>
              <w:rPr>
                <w:rFonts w:eastAsia="MS Mincho"/>
                <w:color w:val="000000"/>
                <w:sz w:val="26"/>
                <w:szCs w:val="26"/>
              </w:rPr>
            </w:pPr>
            <w:r w:rsidRPr="002F6B47">
              <w:rPr>
                <w:rFonts w:eastAsia="MS Mincho"/>
                <w:color w:val="000000"/>
                <w:sz w:val="26"/>
                <w:szCs w:val="26"/>
              </w:rPr>
              <w:t>BULATS</w:t>
            </w:r>
          </w:p>
        </w:tc>
        <w:tc>
          <w:tcPr>
            <w:tcW w:w="877" w:type="dxa"/>
          </w:tcPr>
          <w:p w:rsidR="005443A9" w:rsidRPr="002F6B47" w:rsidRDefault="005443A9" w:rsidP="00217010">
            <w:pPr>
              <w:spacing w:before="120" w:after="120"/>
              <w:jc w:val="center"/>
              <w:rPr>
                <w:rFonts w:eastAsia="MS Mincho"/>
                <w:color w:val="000000"/>
                <w:sz w:val="26"/>
                <w:szCs w:val="26"/>
              </w:rPr>
            </w:pPr>
          </w:p>
          <w:p w:rsidR="005443A9" w:rsidRPr="002F6B47" w:rsidRDefault="005443A9" w:rsidP="00217010">
            <w:pPr>
              <w:spacing w:before="120" w:after="120"/>
              <w:jc w:val="center"/>
              <w:rPr>
                <w:rFonts w:eastAsia="MS Mincho"/>
                <w:color w:val="000000"/>
                <w:sz w:val="26"/>
                <w:szCs w:val="26"/>
              </w:rPr>
            </w:pPr>
            <w:r w:rsidRPr="002F6B47">
              <w:rPr>
                <w:rFonts w:eastAsia="MS Mincho"/>
                <w:color w:val="000000"/>
                <w:sz w:val="26"/>
                <w:szCs w:val="26"/>
              </w:rPr>
              <w:t>CEFR</w:t>
            </w:r>
          </w:p>
        </w:tc>
      </w:tr>
      <w:tr w:rsidR="005443A9" w:rsidRPr="002F6B47" w:rsidTr="009039BD">
        <w:tc>
          <w:tcPr>
            <w:tcW w:w="1122" w:type="dxa"/>
            <w:vAlign w:val="center"/>
          </w:tcPr>
          <w:p w:rsidR="005443A9" w:rsidRPr="002F6B47" w:rsidRDefault="005443A9" w:rsidP="00217010">
            <w:pPr>
              <w:jc w:val="center"/>
              <w:rPr>
                <w:rFonts w:eastAsia="MS Mincho"/>
                <w:color w:val="000000"/>
              </w:rPr>
            </w:pPr>
            <w:r w:rsidRPr="002F6B47">
              <w:rPr>
                <w:rFonts w:eastAsia="MS Mincho"/>
                <w:color w:val="000000"/>
              </w:rPr>
              <w:t xml:space="preserve"> Cấp độ  3 </w:t>
            </w:r>
          </w:p>
        </w:tc>
        <w:tc>
          <w:tcPr>
            <w:tcW w:w="999" w:type="dxa"/>
            <w:vAlign w:val="center"/>
          </w:tcPr>
          <w:p w:rsidR="005443A9" w:rsidRPr="002F6B47" w:rsidRDefault="005443A9" w:rsidP="00217010">
            <w:pPr>
              <w:spacing w:before="120" w:after="120"/>
              <w:jc w:val="center"/>
              <w:rPr>
                <w:rFonts w:eastAsia="MS Mincho"/>
                <w:color w:val="000000"/>
              </w:rPr>
            </w:pPr>
            <w:r w:rsidRPr="002F6B47">
              <w:rPr>
                <w:rFonts w:eastAsia="MS Mincho"/>
                <w:color w:val="000000"/>
              </w:rPr>
              <w:t>4.5</w:t>
            </w:r>
          </w:p>
        </w:tc>
        <w:tc>
          <w:tcPr>
            <w:tcW w:w="1557" w:type="dxa"/>
            <w:vAlign w:val="center"/>
          </w:tcPr>
          <w:p w:rsidR="005443A9" w:rsidRPr="002F6B47" w:rsidRDefault="005443A9" w:rsidP="00217010">
            <w:pPr>
              <w:rPr>
                <w:rFonts w:eastAsia="MS Mincho"/>
                <w:color w:val="000000"/>
              </w:rPr>
            </w:pPr>
            <w:r w:rsidRPr="002F6B47">
              <w:rPr>
                <w:rFonts w:eastAsia="MS Mincho"/>
                <w:color w:val="000000"/>
              </w:rPr>
              <w:t>450   ITP</w:t>
            </w:r>
          </w:p>
          <w:p w:rsidR="005443A9" w:rsidRPr="002F6B47" w:rsidRDefault="005443A9" w:rsidP="00217010">
            <w:pPr>
              <w:rPr>
                <w:rFonts w:eastAsia="MS Mincho"/>
                <w:color w:val="000000"/>
              </w:rPr>
            </w:pPr>
            <w:r w:rsidRPr="002F6B47">
              <w:rPr>
                <w:rFonts w:eastAsia="MS Mincho"/>
                <w:color w:val="000000"/>
              </w:rPr>
              <w:t xml:space="preserve">133   CBT     </w:t>
            </w:r>
            <w:r w:rsidRPr="002F6B47">
              <w:rPr>
                <w:rFonts w:eastAsia="MS Mincho"/>
                <w:color w:val="000000"/>
                <w:sz w:val="27"/>
                <w:szCs w:val="27"/>
              </w:rPr>
              <w:t xml:space="preserve"> 45 iBT</w:t>
            </w:r>
          </w:p>
        </w:tc>
        <w:tc>
          <w:tcPr>
            <w:tcW w:w="982" w:type="dxa"/>
            <w:vAlign w:val="center"/>
          </w:tcPr>
          <w:p w:rsidR="005443A9" w:rsidRPr="002F6B47" w:rsidRDefault="005443A9" w:rsidP="00217010">
            <w:pPr>
              <w:spacing w:before="120" w:after="120"/>
              <w:jc w:val="center"/>
              <w:rPr>
                <w:rFonts w:eastAsia="MS Mincho"/>
                <w:color w:val="000000"/>
              </w:rPr>
            </w:pPr>
            <w:r w:rsidRPr="002F6B47">
              <w:rPr>
                <w:rFonts w:eastAsia="MS Mincho"/>
                <w:color w:val="000000"/>
              </w:rPr>
              <w:t>450</w:t>
            </w:r>
          </w:p>
        </w:tc>
        <w:tc>
          <w:tcPr>
            <w:tcW w:w="1401" w:type="dxa"/>
            <w:vAlign w:val="center"/>
          </w:tcPr>
          <w:p w:rsidR="005443A9" w:rsidRPr="002F6B47" w:rsidRDefault="005443A9" w:rsidP="00217010">
            <w:pPr>
              <w:rPr>
                <w:rFonts w:eastAsia="MS Mincho"/>
                <w:color w:val="000000"/>
              </w:rPr>
            </w:pPr>
            <w:r w:rsidRPr="002F6B47">
              <w:rPr>
                <w:rFonts w:eastAsia="MS Mincho"/>
                <w:color w:val="000000"/>
              </w:rPr>
              <w:t xml:space="preserve"> PET</w:t>
            </w:r>
          </w:p>
        </w:tc>
        <w:tc>
          <w:tcPr>
            <w:tcW w:w="1541" w:type="dxa"/>
            <w:vAlign w:val="center"/>
          </w:tcPr>
          <w:p w:rsidR="005443A9" w:rsidRPr="002F6B47" w:rsidRDefault="005443A9" w:rsidP="00217010">
            <w:pPr>
              <w:jc w:val="center"/>
              <w:rPr>
                <w:rFonts w:eastAsia="MS Mincho"/>
                <w:color w:val="000000"/>
              </w:rPr>
            </w:pPr>
            <w:r w:rsidRPr="002F6B47">
              <w:rPr>
                <w:rFonts w:eastAsia="MS Mincho"/>
                <w:color w:val="000000"/>
              </w:rPr>
              <w:t>Preliminary</w:t>
            </w:r>
          </w:p>
        </w:tc>
        <w:tc>
          <w:tcPr>
            <w:tcW w:w="1305" w:type="dxa"/>
            <w:vAlign w:val="center"/>
          </w:tcPr>
          <w:p w:rsidR="005443A9" w:rsidRPr="002F6B47" w:rsidRDefault="005443A9" w:rsidP="00217010">
            <w:pPr>
              <w:jc w:val="center"/>
              <w:rPr>
                <w:rFonts w:eastAsia="MS Mincho"/>
                <w:color w:val="000000"/>
              </w:rPr>
            </w:pPr>
            <w:r w:rsidRPr="002F6B47">
              <w:rPr>
                <w:rFonts w:eastAsia="MS Mincho"/>
                <w:color w:val="000000"/>
              </w:rPr>
              <w:t>40</w:t>
            </w:r>
          </w:p>
        </w:tc>
        <w:tc>
          <w:tcPr>
            <w:tcW w:w="877" w:type="dxa"/>
          </w:tcPr>
          <w:p w:rsidR="005443A9" w:rsidRPr="002F6B47" w:rsidRDefault="005443A9" w:rsidP="00217010">
            <w:pPr>
              <w:jc w:val="center"/>
              <w:rPr>
                <w:rFonts w:eastAsia="MS Mincho"/>
                <w:color w:val="000000"/>
              </w:rPr>
            </w:pPr>
          </w:p>
          <w:p w:rsidR="005443A9" w:rsidRPr="002F6B47" w:rsidRDefault="005443A9" w:rsidP="00217010">
            <w:pPr>
              <w:jc w:val="center"/>
              <w:rPr>
                <w:rFonts w:eastAsia="MS Mincho"/>
                <w:color w:val="000000"/>
              </w:rPr>
            </w:pPr>
            <w:r w:rsidRPr="002F6B47">
              <w:rPr>
                <w:rFonts w:eastAsia="MS Mincho"/>
                <w:color w:val="000000"/>
              </w:rPr>
              <w:t>B1</w:t>
            </w:r>
          </w:p>
        </w:tc>
      </w:tr>
    </w:tbl>
    <w:p w:rsidR="005443A9" w:rsidRPr="002F6B47" w:rsidRDefault="005443A9" w:rsidP="005443A9">
      <w:pPr>
        <w:spacing w:before="120"/>
        <w:jc w:val="center"/>
        <w:rPr>
          <w:color w:val="000000"/>
        </w:rPr>
      </w:pPr>
      <w:r w:rsidRPr="002F6B47">
        <w:rPr>
          <w:color w:val="000000"/>
        </w:rPr>
        <w:t>(Các điểm số nêu trên là điểm tối thiểu cần đạt được)</w:t>
      </w:r>
    </w:p>
    <w:p w:rsidR="005443A9" w:rsidRPr="002F6B47" w:rsidRDefault="005443A9" w:rsidP="005443A9">
      <w:pPr>
        <w:rPr>
          <w:b/>
          <w:color w:val="000000"/>
        </w:rPr>
      </w:pPr>
      <w:r w:rsidRPr="002F6B47">
        <w:rPr>
          <w:b/>
          <w:color w:val="000000"/>
        </w:rPr>
        <w:t>Một số tiếng khác</w:t>
      </w:r>
    </w:p>
    <w:p w:rsidR="005443A9" w:rsidRPr="002F6B47" w:rsidRDefault="005443A9" w:rsidP="005443A9">
      <w:pPr>
        <w:rPr>
          <w:b/>
          <w:color w:val="000000"/>
        </w:rPr>
      </w:pPr>
    </w:p>
    <w:tbl>
      <w:tblPr>
        <w:tblW w:w="9794" w:type="dxa"/>
        <w:jc w:val="center"/>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2237"/>
        <w:gridCol w:w="2096"/>
        <w:gridCol w:w="1401"/>
        <w:gridCol w:w="1258"/>
      </w:tblGrid>
      <w:tr w:rsidR="005443A9" w:rsidRPr="002F6B47" w:rsidTr="00217010">
        <w:trPr>
          <w:jc w:val="center"/>
        </w:trPr>
        <w:tc>
          <w:tcPr>
            <w:tcW w:w="1242" w:type="dxa"/>
            <w:vAlign w:val="center"/>
          </w:tcPr>
          <w:p w:rsidR="005443A9" w:rsidRPr="002F6B47" w:rsidRDefault="005443A9" w:rsidP="00217010">
            <w:pPr>
              <w:jc w:val="center"/>
              <w:rPr>
                <w:rFonts w:eastAsia="MS Mincho"/>
                <w:color w:val="000000"/>
                <w:sz w:val="26"/>
                <w:szCs w:val="26"/>
              </w:rPr>
            </w:pPr>
            <w:r w:rsidRPr="002F6B47">
              <w:rPr>
                <w:rFonts w:eastAsia="MS Mincho"/>
                <w:color w:val="000000"/>
                <w:sz w:val="26"/>
                <w:szCs w:val="26"/>
              </w:rPr>
              <w:t xml:space="preserve">Khung năng lực </w:t>
            </w:r>
          </w:p>
          <w:p w:rsidR="005443A9" w:rsidRPr="002F6B47" w:rsidRDefault="005443A9" w:rsidP="00217010">
            <w:pPr>
              <w:jc w:val="center"/>
              <w:rPr>
                <w:rFonts w:eastAsia="MS Mincho"/>
                <w:color w:val="000000"/>
                <w:sz w:val="26"/>
                <w:szCs w:val="26"/>
              </w:rPr>
            </w:pPr>
            <w:r w:rsidRPr="002F6B47">
              <w:rPr>
                <w:rFonts w:eastAsia="MS Mincho"/>
                <w:color w:val="000000"/>
                <w:sz w:val="26"/>
                <w:szCs w:val="26"/>
              </w:rPr>
              <w:t xml:space="preserve">ngoại ngữ </w:t>
            </w:r>
          </w:p>
          <w:p w:rsidR="005443A9" w:rsidRPr="002F6B47" w:rsidRDefault="005443A9" w:rsidP="00217010">
            <w:pPr>
              <w:jc w:val="center"/>
              <w:rPr>
                <w:rFonts w:eastAsia="MS Mincho"/>
                <w:b/>
                <w:color w:val="000000"/>
                <w:sz w:val="26"/>
                <w:szCs w:val="26"/>
              </w:rPr>
            </w:pPr>
            <w:r w:rsidRPr="002F6B47">
              <w:rPr>
                <w:rFonts w:eastAsia="MS Mincho"/>
                <w:color w:val="000000"/>
                <w:sz w:val="26"/>
                <w:szCs w:val="26"/>
              </w:rPr>
              <w:t xml:space="preserve">VN  </w:t>
            </w:r>
          </w:p>
        </w:tc>
        <w:tc>
          <w:tcPr>
            <w:tcW w:w="1560" w:type="dxa"/>
          </w:tcPr>
          <w:p w:rsidR="005443A9" w:rsidRPr="002F6B47" w:rsidRDefault="005443A9" w:rsidP="00217010">
            <w:pPr>
              <w:spacing w:before="120" w:after="120"/>
              <w:jc w:val="center"/>
              <w:rPr>
                <w:rFonts w:eastAsia="MS Mincho"/>
                <w:b/>
                <w:color w:val="000000"/>
              </w:rPr>
            </w:pPr>
            <w:r w:rsidRPr="002F6B47">
              <w:rPr>
                <w:rFonts w:eastAsia="MS Mincho"/>
                <w:b/>
                <w:color w:val="000000"/>
              </w:rPr>
              <w:t>tiếng    Nga</w:t>
            </w:r>
          </w:p>
        </w:tc>
        <w:tc>
          <w:tcPr>
            <w:tcW w:w="2237" w:type="dxa"/>
          </w:tcPr>
          <w:p w:rsidR="005443A9" w:rsidRPr="002F6B47" w:rsidRDefault="005443A9" w:rsidP="00217010">
            <w:pPr>
              <w:spacing w:before="120" w:after="120"/>
              <w:jc w:val="center"/>
              <w:rPr>
                <w:rFonts w:eastAsia="MS Mincho"/>
                <w:b/>
                <w:color w:val="000000"/>
              </w:rPr>
            </w:pPr>
            <w:r w:rsidRPr="002F6B47">
              <w:rPr>
                <w:rFonts w:eastAsia="MS Mincho"/>
                <w:b/>
                <w:color w:val="000000"/>
              </w:rPr>
              <w:t>tiếng Pháp</w:t>
            </w:r>
          </w:p>
        </w:tc>
        <w:tc>
          <w:tcPr>
            <w:tcW w:w="2096" w:type="dxa"/>
          </w:tcPr>
          <w:p w:rsidR="005443A9" w:rsidRPr="002F6B47" w:rsidRDefault="005443A9" w:rsidP="00217010">
            <w:pPr>
              <w:spacing w:before="120" w:after="120"/>
              <w:jc w:val="center"/>
              <w:rPr>
                <w:rFonts w:eastAsia="MS Mincho"/>
                <w:b/>
                <w:color w:val="000000"/>
              </w:rPr>
            </w:pPr>
            <w:r w:rsidRPr="002F6B47">
              <w:rPr>
                <w:rFonts w:eastAsia="MS Mincho"/>
                <w:b/>
                <w:color w:val="000000"/>
              </w:rPr>
              <w:t>tiếng Đức</w:t>
            </w:r>
          </w:p>
        </w:tc>
        <w:tc>
          <w:tcPr>
            <w:tcW w:w="1401" w:type="dxa"/>
          </w:tcPr>
          <w:p w:rsidR="005443A9" w:rsidRPr="002F6B47" w:rsidRDefault="005443A9" w:rsidP="00217010">
            <w:pPr>
              <w:spacing w:before="120" w:after="120"/>
              <w:jc w:val="center"/>
              <w:rPr>
                <w:rFonts w:eastAsia="MS Mincho"/>
                <w:b/>
                <w:color w:val="000000"/>
              </w:rPr>
            </w:pPr>
            <w:r w:rsidRPr="002F6B47">
              <w:rPr>
                <w:rFonts w:eastAsia="MS Mincho"/>
                <w:b/>
                <w:color w:val="000000"/>
              </w:rPr>
              <w:t>tiếng Trung</w:t>
            </w:r>
          </w:p>
        </w:tc>
        <w:tc>
          <w:tcPr>
            <w:tcW w:w="1258" w:type="dxa"/>
          </w:tcPr>
          <w:p w:rsidR="005443A9" w:rsidRPr="002F6B47" w:rsidRDefault="005443A9" w:rsidP="00217010">
            <w:pPr>
              <w:spacing w:before="120" w:after="120"/>
              <w:jc w:val="center"/>
              <w:rPr>
                <w:rFonts w:eastAsia="MS Mincho"/>
                <w:b/>
                <w:color w:val="000000"/>
              </w:rPr>
            </w:pPr>
            <w:r w:rsidRPr="002F6B47">
              <w:rPr>
                <w:rFonts w:eastAsia="MS Mincho"/>
                <w:b/>
                <w:color w:val="000000"/>
              </w:rPr>
              <w:t>tiếng  Nhật</w:t>
            </w:r>
          </w:p>
        </w:tc>
      </w:tr>
      <w:tr w:rsidR="005443A9" w:rsidRPr="002F6B47" w:rsidTr="00217010">
        <w:trPr>
          <w:jc w:val="center"/>
        </w:trPr>
        <w:tc>
          <w:tcPr>
            <w:tcW w:w="1242" w:type="dxa"/>
            <w:vAlign w:val="center"/>
          </w:tcPr>
          <w:p w:rsidR="005443A9" w:rsidRPr="002F6B47" w:rsidRDefault="005443A9" w:rsidP="00217010">
            <w:pPr>
              <w:jc w:val="center"/>
              <w:rPr>
                <w:rFonts w:eastAsia="MS Mincho"/>
                <w:color w:val="000000"/>
              </w:rPr>
            </w:pPr>
            <w:r w:rsidRPr="002F6B47">
              <w:rPr>
                <w:rFonts w:eastAsia="MS Mincho"/>
                <w:color w:val="000000"/>
              </w:rPr>
              <w:t xml:space="preserve"> Cấp độ  3 </w:t>
            </w:r>
          </w:p>
        </w:tc>
        <w:tc>
          <w:tcPr>
            <w:tcW w:w="1560" w:type="dxa"/>
            <w:vAlign w:val="center"/>
          </w:tcPr>
          <w:p w:rsidR="005443A9" w:rsidRPr="002F6B47" w:rsidRDefault="005443A9" w:rsidP="00217010">
            <w:pPr>
              <w:spacing w:before="120" w:after="120"/>
              <w:jc w:val="center"/>
              <w:rPr>
                <w:rFonts w:eastAsia="MS Mincho"/>
                <w:color w:val="000000"/>
              </w:rPr>
            </w:pPr>
            <w:r w:rsidRPr="002F6B47">
              <w:rPr>
                <w:rFonts w:eastAsia="MS Mincho"/>
                <w:color w:val="000000"/>
              </w:rPr>
              <w:t xml:space="preserve">TRKI 1  </w:t>
            </w:r>
          </w:p>
        </w:tc>
        <w:tc>
          <w:tcPr>
            <w:tcW w:w="2237" w:type="dxa"/>
            <w:vAlign w:val="center"/>
          </w:tcPr>
          <w:p w:rsidR="005443A9" w:rsidRPr="002F6B47" w:rsidRDefault="005443A9" w:rsidP="00217010">
            <w:pPr>
              <w:spacing w:before="120" w:after="120"/>
              <w:jc w:val="center"/>
              <w:rPr>
                <w:color w:val="000000"/>
              </w:rPr>
            </w:pPr>
            <w:r w:rsidRPr="002F6B47">
              <w:rPr>
                <w:rFonts w:eastAsia="MS Mincho"/>
                <w:color w:val="000000"/>
              </w:rPr>
              <w:t>DELF B1</w:t>
            </w:r>
          </w:p>
          <w:p w:rsidR="005443A9" w:rsidRPr="002F6B47" w:rsidRDefault="005443A9" w:rsidP="00217010">
            <w:pPr>
              <w:spacing w:before="120" w:after="120"/>
              <w:jc w:val="center"/>
              <w:rPr>
                <w:rFonts w:eastAsia="MS Mincho"/>
                <w:color w:val="000000"/>
              </w:rPr>
            </w:pPr>
            <w:r w:rsidRPr="002F6B47">
              <w:rPr>
                <w:color w:val="000000"/>
              </w:rPr>
              <w:t xml:space="preserve"> TCF niveau 3</w:t>
            </w:r>
          </w:p>
        </w:tc>
        <w:tc>
          <w:tcPr>
            <w:tcW w:w="2096" w:type="dxa"/>
            <w:vAlign w:val="center"/>
          </w:tcPr>
          <w:p w:rsidR="005443A9" w:rsidRPr="002F6B47" w:rsidRDefault="005443A9" w:rsidP="00217010">
            <w:pPr>
              <w:spacing w:before="120" w:after="120"/>
              <w:jc w:val="center"/>
              <w:rPr>
                <w:rFonts w:eastAsia="MS Mincho"/>
                <w:color w:val="000000"/>
              </w:rPr>
            </w:pPr>
            <w:r w:rsidRPr="002F6B47">
              <w:rPr>
                <w:rFonts w:eastAsia="MS Mincho"/>
                <w:color w:val="000000"/>
              </w:rPr>
              <w:t xml:space="preserve">B1 </w:t>
            </w:r>
          </w:p>
          <w:p w:rsidR="005443A9" w:rsidRPr="002F6B47" w:rsidRDefault="005443A9" w:rsidP="00217010">
            <w:pPr>
              <w:spacing w:before="120" w:after="120"/>
              <w:jc w:val="center"/>
              <w:rPr>
                <w:rFonts w:eastAsia="MS Mincho"/>
                <w:color w:val="000000"/>
              </w:rPr>
            </w:pPr>
            <w:r w:rsidRPr="002F6B47">
              <w:rPr>
                <w:rFonts w:eastAsia="MS Mincho"/>
                <w:color w:val="000000"/>
              </w:rPr>
              <w:t xml:space="preserve">ZD </w:t>
            </w:r>
          </w:p>
        </w:tc>
        <w:tc>
          <w:tcPr>
            <w:tcW w:w="1401" w:type="dxa"/>
            <w:vAlign w:val="center"/>
          </w:tcPr>
          <w:p w:rsidR="005443A9" w:rsidRPr="002F6B47" w:rsidRDefault="005443A9" w:rsidP="00217010">
            <w:pPr>
              <w:spacing w:before="120" w:after="120"/>
              <w:jc w:val="center"/>
              <w:rPr>
                <w:rFonts w:eastAsia="MS Mincho"/>
                <w:color w:val="000000"/>
              </w:rPr>
            </w:pPr>
            <w:r w:rsidRPr="002F6B47">
              <w:rPr>
                <w:rFonts w:eastAsia="MS Mincho"/>
                <w:color w:val="000000"/>
              </w:rPr>
              <w:t xml:space="preserve">HSK        cấp độ 3       </w:t>
            </w:r>
          </w:p>
        </w:tc>
        <w:tc>
          <w:tcPr>
            <w:tcW w:w="1258" w:type="dxa"/>
            <w:vAlign w:val="center"/>
          </w:tcPr>
          <w:p w:rsidR="005443A9" w:rsidRPr="002F6B47" w:rsidRDefault="005443A9" w:rsidP="00217010">
            <w:pPr>
              <w:spacing w:before="120" w:after="120"/>
              <w:jc w:val="center"/>
              <w:rPr>
                <w:rFonts w:eastAsia="MS Mincho"/>
                <w:color w:val="000000"/>
              </w:rPr>
            </w:pPr>
            <w:r w:rsidRPr="002F6B47">
              <w:rPr>
                <w:rFonts w:eastAsia="MS Mincho"/>
                <w:color w:val="000000"/>
              </w:rPr>
              <w:t>JLPT  N4</w:t>
            </w:r>
          </w:p>
        </w:tc>
      </w:tr>
    </w:tbl>
    <w:p w:rsidR="005443A9" w:rsidRPr="002F6B47" w:rsidRDefault="005443A9" w:rsidP="005443A9">
      <w:pPr>
        <w:spacing w:line="360" w:lineRule="auto"/>
        <w:ind w:firstLine="720"/>
        <w:jc w:val="center"/>
        <w:rPr>
          <w:sz w:val="26"/>
          <w:szCs w:val="26"/>
        </w:rPr>
      </w:pPr>
    </w:p>
    <w:p w:rsidR="005443A9" w:rsidRPr="002F6B47" w:rsidRDefault="005443A9" w:rsidP="005443A9">
      <w:pPr>
        <w:pStyle w:val="Heading2"/>
        <w:numPr>
          <w:ilvl w:val="1"/>
          <w:numId w:val="3"/>
        </w:numPr>
        <w:spacing w:before="0" w:after="0" w:line="348" w:lineRule="auto"/>
        <w:rPr>
          <w:rFonts w:ascii="Times New Roman" w:hAnsi="Times New Roman"/>
          <w:i w:val="0"/>
          <w:sz w:val="26"/>
          <w:szCs w:val="26"/>
        </w:rPr>
      </w:pPr>
      <w:bookmarkStart w:id="8" w:name="_Toc375829001"/>
      <w:bookmarkStart w:id="9" w:name="_GoBack"/>
      <w:bookmarkEnd w:id="9"/>
      <w:r w:rsidRPr="002F6B47">
        <w:rPr>
          <w:rFonts w:ascii="Times New Roman" w:hAnsi="Times New Roman"/>
          <w:i w:val="0"/>
          <w:sz w:val="26"/>
          <w:szCs w:val="26"/>
        </w:rPr>
        <w:t>THỜI GIAN ĐÀO TẠO, ĐIỀU KIỆN TỐT NGHIỆP</w:t>
      </w:r>
      <w:bookmarkEnd w:id="8"/>
    </w:p>
    <w:p w:rsidR="005443A9" w:rsidRPr="002F6B47" w:rsidRDefault="005443A9" w:rsidP="005443A9">
      <w:pPr>
        <w:spacing w:line="348" w:lineRule="auto"/>
        <w:ind w:firstLine="600"/>
        <w:jc w:val="both"/>
        <w:rPr>
          <w:b/>
          <w:sz w:val="26"/>
          <w:szCs w:val="26"/>
        </w:rPr>
      </w:pPr>
      <w:r>
        <w:rPr>
          <w:b/>
          <w:sz w:val="26"/>
          <w:szCs w:val="26"/>
        </w:rPr>
        <w:t>3.8</w:t>
      </w:r>
      <w:r w:rsidRPr="002F6B47">
        <w:rPr>
          <w:b/>
          <w:sz w:val="26"/>
          <w:szCs w:val="26"/>
        </w:rPr>
        <w:t xml:space="preserve">.1. Thời gian đào tạo: </w:t>
      </w:r>
      <w:r w:rsidRPr="002F6B47">
        <w:rPr>
          <w:sz w:val="26"/>
          <w:szCs w:val="26"/>
        </w:rPr>
        <w:t>02 năm học</w:t>
      </w:r>
      <w:r>
        <w:rPr>
          <w:sz w:val="26"/>
          <w:szCs w:val="26"/>
        </w:rPr>
        <w:t xml:space="preserve"> </w:t>
      </w:r>
      <w:proofErr w:type="gramStart"/>
      <w:r w:rsidRPr="002F6B47">
        <w:rPr>
          <w:bCs/>
          <w:sz w:val="26"/>
          <w:szCs w:val="26"/>
        </w:rPr>
        <w:t>theo</w:t>
      </w:r>
      <w:proofErr w:type="gramEnd"/>
      <w:r w:rsidRPr="002F6B47">
        <w:rPr>
          <w:bCs/>
          <w:sz w:val="26"/>
          <w:szCs w:val="26"/>
        </w:rPr>
        <w:t xml:space="preserve"> quy định chung Bộ Giáo dục &amp; Đào tạo và Đại học Đà Nẵng.</w:t>
      </w:r>
    </w:p>
    <w:p w:rsidR="005443A9" w:rsidRPr="002F6B47" w:rsidRDefault="005443A9" w:rsidP="005443A9">
      <w:pPr>
        <w:tabs>
          <w:tab w:val="num" w:pos="1440"/>
        </w:tabs>
        <w:autoSpaceDE w:val="0"/>
        <w:autoSpaceDN w:val="0"/>
        <w:adjustRightInd w:val="0"/>
        <w:spacing w:line="348" w:lineRule="auto"/>
        <w:ind w:firstLine="600"/>
        <w:jc w:val="both"/>
        <w:rPr>
          <w:bCs/>
          <w:sz w:val="26"/>
          <w:szCs w:val="26"/>
        </w:rPr>
      </w:pPr>
      <w:r>
        <w:rPr>
          <w:b/>
          <w:bCs/>
          <w:sz w:val="26"/>
          <w:szCs w:val="26"/>
        </w:rPr>
        <w:t>3.8</w:t>
      </w:r>
      <w:r w:rsidRPr="002F6B47">
        <w:rPr>
          <w:b/>
          <w:bCs/>
          <w:sz w:val="26"/>
          <w:szCs w:val="26"/>
        </w:rPr>
        <w:t>.2</w:t>
      </w:r>
      <w:proofErr w:type="gramStart"/>
      <w:r w:rsidRPr="002F6B47">
        <w:rPr>
          <w:bCs/>
          <w:sz w:val="26"/>
          <w:szCs w:val="26"/>
        </w:rPr>
        <w:t xml:space="preserve">.  </w:t>
      </w:r>
      <w:r w:rsidRPr="002F6B47">
        <w:rPr>
          <w:b/>
          <w:bCs/>
          <w:sz w:val="26"/>
          <w:szCs w:val="26"/>
        </w:rPr>
        <w:t>Điều</w:t>
      </w:r>
      <w:proofErr w:type="gramEnd"/>
      <w:r w:rsidRPr="002F6B47">
        <w:rPr>
          <w:b/>
          <w:bCs/>
          <w:sz w:val="26"/>
          <w:szCs w:val="26"/>
        </w:rPr>
        <w:t xml:space="preserve"> kiện tốt nghiệp: </w:t>
      </w:r>
    </w:p>
    <w:p w:rsidR="005443A9" w:rsidRPr="002F6B47" w:rsidRDefault="005443A9" w:rsidP="005443A9">
      <w:pPr>
        <w:tabs>
          <w:tab w:val="num" w:pos="1440"/>
        </w:tabs>
        <w:autoSpaceDE w:val="0"/>
        <w:autoSpaceDN w:val="0"/>
        <w:adjustRightInd w:val="0"/>
        <w:spacing w:line="348" w:lineRule="auto"/>
        <w:ind w:firstLine="605"/>
        <w:jc w:val="both"/>
        <w:rPr>
          <w:color w:val="000000"/>
          <w:spacing w:val="-4"/>
          <w:sz w:val="26"/>
          <w:szCs w:val="26"/>
        </w:rPr>
      </w:pPr>
      <w:r w:rsidRPr="002F6B47">
        <w:rPr>
          <w:bCs/>
          <w:sz w:val="26"/>
          <w:szCs w:val="26"/>
        </w:rPr>
        <w:t>- Học viên sẽ được cấp bằng Thạc sĩ</w:t>
      </w:r>
      <w:r>
        <w:rPr>
          <w:bCs/>
          <w:sz w:val="26"/>
          <w:szCs w:val="26"/>
        </w:rPr>
        <w:t xml:space="preserve"> </w:t>
      </w:r>
      <w:r w:rsidRPr="002F6B47">
        <w:rPr>
          <w:bCs/>
          <w:sz w:val="26"/>
          <w:szCs w:val="26"/>
        </w:rPr>
        <w:t xml:space="preserve">chuyên ngành Lý luận và phương pháp dạy học bộ môn Vật lý sau khi thỏa mãn các điều </w:t>
      </w:r>
      <w:r w:rsidRPr="002F6B47">
        <w:rPr>
          <w:color w:val="000000"/>
          <w:spacing w:val="-4"/>
          <w:sz w:val="26"/>
          <w:szCs w:val="26"/>
        </w:rPr>
        <w:t>kiện quy định tại khoản 1 Điều 32 (</w:t>
      </w:r>
      <w:r w:rsidRPr="002F6B47">
        <w:rPr>
          <w:bCs/>
          <w:sz w:val="26"/>
          <w:szCs w:val="26"/>
        </w:rPr>
        <w:t>Thông tư</w:t>
      </w:r>
      <w:r w:rsidRPr="002F6B47">
        <w:rPr>
          <w:rFonts w:eastAsia="SimSun"/>
          <w:iCs/>
          <w:color w:val="000000"/>
          <w:sz w:val="26"/>
          <w:szCs w:val="26"/>
          <w:lang w:eastAsia="zh-CN"/>
        </w:rPr>
        <w:t xml:space="preserve"> số</w:t>
      </w:r>
      <w:r w:rsidRPr="002F6B47">
        <w:rPr>
          <w:bCs/>
          <w:sz w:val="26"/>
          <w:szCs w:val="26"/>
        </w:rPr>
        <w:t>: 15/2014/TT-BGDĐT</w:t>
      </w:r>
      <w:r w:rsidRPr="002F6B47">
        <w:rPr>
          <w:rFonts w:eastAsia="SimSun"/>
          <w:i/>
          <w:iCs/>
          <w:color w:val="000000"/>
          <w:sz w:val="26"/>
          <w:szCs w:val="26"/>
          <w:lang w:eastAsia="zh-CN"/>
        </w:rPr>
        <w:t xml:space="preserve">ngày 15 tháng 5 năm 2014 của Bộ trưởng Bộ Giáo dục và Đào tạo, </w:t>
      </w:r>
      <w:r w:rsidRPr="002F6B47">
        <w:rPr>
          <w:rFonts w:eastAsia="SimSun"/>
          <w:iCs/>
          <w:color w:val="000000"/>
          <w:sz w:val="26"/>
          <w:szCs w:val="26"/>
          <w:lang w:eastAsia="zh-CN"/>
        </w:rPr>
        <w:t xml:space="preserve">về </w:t>
      </w:r>
      <w:r w:rsidRPr="002F6B47">
        <w:rPr>
          <w:sz w:val="26"/>
          <w:szCs w:val="26"/>
        </w:rPr>
        <w:t>Quy chế đào tạo trình độ thạc sĩ</w:t>
      </w:r>
      <w:r w:rsidRPr="002F6B47">
        <w:rPr>
          <w:color w:val="000000"/>
          <w:spacing w:val="-4"/>
          <w:sz w:val="26"/>
          <w:szCs w:val="26"/>
        </w:rPr>
        <w:t>).</w:t>
      </w:r>
    </w:p>
    <w:p w:rsidR="005443A9" w:rsidRPr="002F6B47" w:rsidRDefault="005443A9" w:rsidP="005443A9">
      <w:pPr>
        <w:tabs>
          <w:tab w:val="num" w:pos="1440"/>
        </w:tabs>
        <w:autoSpaceDE w:val="0"/>
        <w:autoSpaceDN w:val="0"/>
        <w:adjustRightInd w:val="0"/>
        <w:spacing w:line="348" w:lineRule="auto"/>
        <w:ind w:firstLine="605"/>
        <w:jc w:val="both"/>
        <w:rPr>
          <w:rFonts w:eastAsia="SimSun"/>
          <w:i/>
          <w:iCs/>
          <w:color w:val="000000"/>
          <w:sz w:val="26"/>
          <w:szCs w:val="26"/>
          <w:lang w:eastAsia="zh-CN"/>
        </w:rPr>
      </w:pPr>
      <w:r w:rsidRPr="002F6B47">
        <w:rPr>
          <w:color w:val="000000"/>
          <w:spacing w:val="4"/>
          <w:sz w:val="26"/>
          <w:szCs w:val="26"/>
        </w:rPr>
        <w:t xml:space="preserve">- Bảo vệ luận văn đạt yêu cầu theo quyết định của Hội đồng chấm Luận văn thạc sĩ căn cứ vào Điều 29 của </w:t>
      </w:r>
      <w:r w:rsidRPr="002F6B47">
        <w:rPr>
          <w:bCs/>
          <w:sz w:val="26"/>
          <w:szCs w:val="26"/>
        </w:rPr>
        <w:t>Thông tư</w:t>
      </w:r>
      <w:r w:rsidRPr="002F6B47">
        <w:rPr>
          <w:rFonts w:eastAsia="SimSun"/>
          <w:iCs/>
          <w:color w:val="000000"/>
          <w:sz w:val="26"/>
          <w:szCs w:val="26"/>
          <w:lang w:eastAsia="zh-CN"/>
        </w:rPr>
        <w:t xml:space="preserve"> số: </w:t>
      </w:r>
      <w:r w:rsidRPr="002F6B47">
        <w:rPr>
          <w:rFonts w:eastAsia="SimSun"/>
          <w:i/>
          <w:iCs/>
          <w:color w:val="000000"/>
          <w:sz w:val="26"/>
          <w:szCs w:val="26"/>
          <w:lang w:eastAsia="zh-CN"/>
        </w:rPr>
        <w:t>15/2014/TT-BGDĐTngày 15 tháng 5 năm 2014.</w:t>
      </w:r>
    </w:p>
    <w:p w:rsidR="005443A9" w:rsidRPr="002F6B47" w:rsidRDefault="005443A9" w:rsidP="005443A9">
      <w:pPr>
        <w:pStyle w:val="Heading2"/>
        <w:numPr>
          <w:ilvl w:val="1"/>
          <w:numId w:val="3"/>
        </w:numPr>
        <w:spacing w:before="0" w:after="0" w:line="348" w:lineRule="auto"/>
        <w:rPr>
          <w:rFonts w:ascii="Times New Roman" w:hAnsi="Times New Roman"/>
          <w:i w:val="0"/>
          <w:sz w:val="26"/>
          <w:szCs w:val="26"/>
        </w:rPr>
      </w:pPr>
      <w:bookmarkStart w:id="10" w:name="_Toc375829002"/>
      <w:r w:rsidRPr="002F6B47">
        <w:rPr>
          <w:rFonts w:ascii="Times New Roman" w:hAnsi="Times New Roman"/>
          <w:i w:val="0"/>
          <w:sz w:val="26"/>
          <w:szCs w:val="26"/>
        </w:rPr>
        <w:t>DỰ KIẾN QUY MÔ TUYỂN SINH</w:t>
      </w:r>
      <w:bookmarkEnd w:id="10"/>
    </w:p>
    <w:p w:rsidR="005443A9" w:rsidRPr="002F6B47" w:rsidRDefault="005443A9" w:rsidP="005443A9">
      <w:pPr>
        <w:spacing w:line="348" w:lineRule="auto"/>
        <w:ind w:firstLine="720"/>
        <w:jc w:val="both"/>
        <w:rPr>
          <w:sz w:val="26"/>
          <w:szCs w:val="26"/>
        </w:rPr>
      </w:pPr>
      <w:r w:rsidRPr="002F6B47">
        <w:rPr>
          <w:sz w:val="26"/>
          <w:szCs w:val="26"/>
        </w:rPr>
        <w:t xml:space="preserve">Hằng năm, tuyển sinh </w:t>
      </w:r>
      <w:proofErr w:type="gramStart"/>
      <w:r w:rsidRPr="002F6B47">
        <w:rPr>
          <w:sz w:val="26"/>
          <w:szCs w:val="26"/>
        </w:rPr>
        <w:t>theo</w:t>
      </w:r>
      <w:proofErr w:type="gramEnd"/>
      <w:r w:rsidRPr="002F6B47">
        <w:rPr>
          <w:sz w:val="26"/>
          <w:szCs w:val="26"/>
        </w:rPr>
        <w:t xml:space="preserve"> hai đợt, theo thời gian tuyển sinh sau đại học của Đại học Đà Nẵng: </w:t>
      </w:r>
    </w:p>
    <w:p w:rsidR="005443A9" w:rsidRPr="002F6B47" w:rsidRDefault="005443A9" w:rsidP="005443A9">
      <w:pPr>
        <w:spacing w:line="348" w:lineRule="auto"/>
        <w:ind w:firstLine="720"/>
        <w:jc w:val="both"/>
        <w:rPr>
          <w:sz w:val="26"/>
          <w:szCs w:val="26"/>
        </w:rPr>
      </w:pPr>
      <w:r w:rsidRPr="002F6B47">
        <w:rPr>
          <w:sz w:val="26"/>
          <w:szCs w:val="26"/>
        </w:rPr>
        <w:t>Đợt 1: Từ 15/03 đến 30/4.</w:t>
      </w:r>
    </w:p>
    <w:p w:rsidR="005443A9" w:rsidRPr="002F6B47" w:rsidRDefault="005443A9" w:rsidP="005443A9">
      <w:pPr>
        <w:spacing w:line="348" w:lineRule="auto"/>
        <w:ind w:firstLine="720"/>
        <w:jc w:val="both"/>
        <w:rPr>
          <w:sz w:val="26"/>
          <w:szCs w:val="26"/>
        </w:rPr>
      </w:pPr>
      <w:r w:rsidRPr="002F6B47">
        <w:rPr>
          <w:sz w:val="26"/>
          <w:szCs w:val="26"/>
        </w:rPr>
        <w:t>Đợt 2: Từ 15/08 đến 30/9.</w:t>
      </w:r>
    </w:p>
    <w:p w:rsidR="005443A9" w:rsidRPr="002F6B47" w:rsidRDefault="005443A9" w:rsidP="005443A9">
      <w:pPr>
        <w:spacing w:line="348" w:lineRule="auto"/>
        <w:ind w:firstLine="720"/>
        <w:jc w:val="both"/>
        <w:rPr>
          <w:sz w:val="26"/>
          <w:szCs w:val="26"/>
        </w:rPr>
      </w:pPr>
      <w:r w:rsidRPr="002F6B47">
        <w:rPr>
          <w:sz w:val="26"/>
          <w:szCs w:val="26"/>
        </w:rPr>
        <w:lastRenderedPageBreak/>
        <w:t>Số lượng tuyển sinh: 15-30 học viên/khoá.</w:t>
      </w:r>
    </w:p>
    <w:p w:rsidR="005443A9" w:rsidRPr="002F6B47" w:rsidRDefault="005443A9" w:rsidP="005443A9">
      <w:pPr>
        <w:pStyle w:val="Heading2"/>
        <w:numPr>
          <w:ilvl w:val="1"/>
          <w:numId w:val="3"/>
        </w:numPr>
        <w:spacing w:before="0" w:after="0" w:line="348" w:lineRule="auto"/>
        <w:rPr>
          <w:rFonts w:ascii="Times New Roman" w:hAnsi="Times New Roman"/>
          <w:i w:val="0"/>
          <w:sz w:val="26"/>
          <w:szCs w:val="26"/>
        </w:rPr>
      </w:pPr>
      <w:bookmarkStart w:id="11" w:name="_Toc375829003"/>
      <w:r w:rsidRPr="002F6B47">
        <w:rPr>
          <w:rFonts w:ascii="Times New Roman" w:hAnsi="Times New Roman"/>
          <w:i w:val="0"/>
          <w:sz w:val="26"/>
          <w:szCs w:val="26"/>
        </w:rPr>
        <w:t>MỨC HỌC PHÍ</w:t>
      </w:r>
      <w:bookmarkEnd w:id="11"/>
    </w:p>
    <w:p w:rsidR="005443A9" w:rsidRPr="002F6B47" w:rsidRDefault="005443A9" w:rsidP="005443A9">
      <w:pPr>
        <w:spacing w:line="348" w:lineRule="auto"/>
        <w:ind w:firstLine="720"/>
        <w:jc w:val="both"/>
        <w:rPr>
          <w:sz w:val="26"/>
          <w:szCs w:val="26"/>
        </w:rPr>
      </w:pPr>
      <w:r w:rsidRPr="002F6B47">
        <w:rPr>
          <w:sz w:val="26"/>
          <w:szCs w:val="26"/>
        </w:rPr>
        <w:t xml:space="preserve">Theo mức học phí đào tạo Cao học được quy định </w:t>
      </w:r>
      <w:proofErr w:type="gramStart"/>
      <w:r w:rsidRPr="002F6B47">
        <w:rPr>
          <w:sz w:val="26"/>
          <w:szCs w:val="26"/>
        </w:rPr>
        <w:t>chung</w:t>
      </w:r>
      <w:proofErr w:type="gramEnd"/>
      <w:r w:rsidRPr="002F6B47">
        <w:rPr>
          <w:sz w:val="26"/>
          <w:szCs w:val="26"/>
        </w:rPr>
        <w:t xml:space="preserve"> của Đại học Đà Nẵng và của Bộ Giáo dục và Đào tạo.</w:t>
      </w:r>
    </w:p>
    <w:p w:rsidR="005443A9" w:rsidRPr="00FB0863" w:rsidRDefault="005443A9" w:rsidP="005443A9">
      <w:pPr>
        <w:pStyle w:val="Heading2"/>
        <w:numPr>
          <w:ilvl w:val="1"/>
          <w:numId w:val="3"/>
        </w:numPr>
        <w:spacing w:before="0" w:after="0" w:line="348" w:lineRule="auto"/>
        <w:rPr>
          <w:rFonts w:ascii="Times New Roman" w:hAnsi="Times New Roman"/>
          <w:i w:val="0"/>
          <w:sz w:val="26"/>
          <w:szCs w:val="26"/>
        </w:rPr>
      </w:pPr>
      <w:bookmarkStart w:id="12" w:name="_Toc375829004"/>
      <w:r w:rsidRPr="00FB0863">
        <w:rPr>
          <w:rFonts w:ascii="Times New Roman" w:hAnsi="Times New Roman"/>
          <w:i w:val="0"/>
          <w:sz w:val="26"/>
          <w:szCs w:val="26"/>
        </w:rPr>
        <w:t>TÊN VĂN BẰNG</w:t>
      </w:r>
      <w:bookmarkEnd w:id="12"/>
    </w:p>
    <w:p w:rsidR="005443A9" w:rsidRPr="00FB0863" w:rsidRDefault="005443A9" w:rsidP="005443A9">
      <w:pPr>
        <w:tabs>
          <w:tab w:val="left" w:pos="720"/>
        </w:tabs>
        <w:spacing w:line="348" w:lineRule="auto"/>
        <w:ind w:firstLine="720"/>
        <w:jc w:val="both"/>
        <w:rPr>
          <w:sz w:val="26"/>
          <w:szCs w:val="26"/>
        </w:rPr>
      </w:pPr>
      <w:r w:rsidRPr="00FB0863">
        <w:rPr>
          <w:sz w:val="26"/>
          <w:szCs w:val="26"/>
        </w:rPr>
        <w:t>Tên tiếng Việt: Thạc sĩ Giáo dục học. Chuyên ngành Lý luận và phương pháp dạy học bộ môn Vật lý (Mã ngành: 62 14 01 11)</w:t>
      </w:r>
    </w:p>
    <w:p w:rsidR="005443A9" w:rsidRPr="00FB0863" w:rsidRDefault="005443A9" w:rsidP="005443A9">
      <w:pPr>
        <w:tabs>
          <w:tab w:val="left" w:pos="720"/>
        </w:tabs>
        <w:spacing w:line="348" w:lineRule="auto"/>
        <w:ind w:firstLine="720"/>
        <w:jc w:val="both"/>
        <w:rPr>
          <w:sz w:val="26"/>
          <w:szCs w:val="26"/>
        </w:rPr>
      </w:pPr>
      <w:r w:rsidRPr="00FB0863">
        <w:rPr>
          <w:sz w:val="26"/>
          <w:szCs w:val="26"/>
        </w:rPr>
        <w:t>Tên tiếng Anh: Master of Education in Physics Teaching Methodology</w:t>
      </w:r>
    </w:p>
    <w:p w:rsidR="00D57037" w:rsidRDefault="00D57037" w:rsidP="00A54871">
      <w:pPr>
        <w:pStyle w:val="ListParagraph"/>
        <w:spacing w:line="360" w:lineRule="auto"/>
        <w:ind w:left="142"/>
        <w:jc w:val="both"/>
        <w:rPr>
          <w:b/>
          <w:sz w:val="28"/>
          <w:szCs w:val="28"/>
        </w:rPr>
      </w:pPr>
    </w:p>
    <w:sectPr w:rsidR="00D57037" w:rsidSect="001B32FD">
      <w:pgSz w:w="11907" w:h="16840" w:code="9"/>
      <w:pgMar w:top="1134" w:right="1134" w:bottom="1134" w:left="1418" w:header="1871" w:footer="425"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5432"/>
    <w:multiLevelType w:val="multilevel"/>
    <w:tmpl w:val="7700DAA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8F506F8"/>
    <w:multiLevelType w:val="multilevel"/>
    <w:tmpl w:val="84ECF412"/>
    <w:lvl w:ilvl="0">
      <w:start w:val="1"/>
      <w:numFmt w:val="decimal"/>
      <w:pStyle w:val="Heading1"/>
      <w:lvlText w:val="PHẦN %1. "/>
      <w:lvlJc w:val="left"/>
      <w:pPr>
        <w:ind w:left="432" w:hanging="432"/>
      </w:pPr>
      <w:rPr>
        <w:rFonts w:hint="default"/>
        <w:u w:val="none"/>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i w:val="0"/>
      </w:rPr>
    </w:lvl>
    <w:lvl w:ilvl="3">
      <w:start w:val="1"/>
      <w:numFmt w:val="decimal"/>
      <w:pStyle w:val="Heading4"/>
      <w:lvlText w:val="%1.%2.%3.%4"/>
      <w:lvlJc w:val="left"/>
      <w:pPr>
        <w:ind w:left="1224" w:hanging="864"/>
      </w:pPr>
      <w:rPr>
        <w:rFonts w:hint="default"/>
        <w:b/>
        <w:sz w:val="28"/>
        <w:szCs w:val="28"/>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5BBC17AF"/>
    <w:multiLevelType w:val="hybridMultilevel"/>
    <w:tmpl w:val="AAF2AB72"/>
    <w:lvl w:ilvl="0" w:tplc="9C8E8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CD617A"/>
    <w:multiLevelType w:val="multilevel"/>
    <w:tmpl w:val="8466D2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6EDC4C02"/>
    <w:multiLevelType w:val="hybridMultilevel"/>
    <w:tmpl w:val="52227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2"/>
  </w:compat>
  <w:rsids>
    <w:rsidRoot w:val="00A54871"/>
    <w:rsid w:val="00025BF2"/>
    <w:rsid w:val="000317B5"/>
    <w:rsid w:val="00056617"/>
    <w:rsid w:val="000A37C8"/>
    <w:rsid w:val="000C4635"/>
    <w:rsid w:val="000C53CB"/>
    <w:rsid w:val="000D427E"/>
    <w:rsid w:val="00101B81"/>
    <w:rsid w:val="001149DA"/>
    <w:rsid w:val="00127F08"/>
    <w:rsid w:val="001376FF"/>
    <w:rsid w:val="00137E88"/>
    <w:rsid w:val="00147219"/>
    <w:rsid w:val="001816AF"/>
    <w:rsid w:val="00183251"/>
    <w:rsid w:val="001A2570"/>
    <w:rsid w:val="001B32FD"/>
    <w:rsid w:val="0023016D"/>
    <w:rsid w:val="0024584D"/>
    <w:rsid w:val="002A056C"/>
    <w:rsid w:val="002D232F"/>
    <w:rsid w:val="002E1DA3"/>
    <w:rsid w:val="002E6316"/>
    <w:rsid w:val="002E66B8"/>
    <w:rsid w:val="002F1256"/>
    <w:rsid w:val="0030368C"/>
    <w:rsid w:val="003263A4"/>
    <w:rsid w:val="00342284"/>
    <w:rsid w:val="00345C20"/>
    <w:rsid w:val="00355A10"/>
    <w:rsid w:val="00364AE1"/>
    <w:rsid w:val="003675E2"/>
    <w:rsid w:val="00391BEA"/>
    <w:rsid w:val="003970AF"/>
    <w:rsid w:val="003A1AA8"/>
    <w:rsid w:val="003A3D76"/>
    <w:rsid w:val="003C6B4A"/>
    <w:rsid w:val="003D6382"/>
    <w:rsid w:val="003E16E4"/>
    <w:rsid w:val="003F1D90"/>
    <w:rsid w:val="003F376C"/>
    <w:rsid w:val="003F75BA"/>
    <w:rsid w:val="004164DD"/>
    <w:rsid w:val="0047221B"/>
    <w:rsid w:val="00483C36"/>
    <w:rsid w:val="004C0849"/>
    <w:rsid w:val="004C6EE4"/>
    <w:rsid w:val="004D1281"/>
    <w:rsid w:val="004F5B19"/>
    <w:rsid w:val="005200C4"/>
    <w:rsid w:val="005377D8"/>
    <w:rsid w:val="005443A9"/>
    <w:rsid w:val="00556FB9"/>
    <w:rsid w:val="005654B4"/>
    <w:rsid w:val="005800C6"/>
    <w:rsid w:val="005C563C"/>
    <w:rsid w:val="005E0FAC"/>
    <w:rsid w:val="00612309"/>
    <w:rsid w:val="00613339"/>
    <w:rsid w:val="006228BE"/>
    <w:rsid w:val="00654481"/>
    <w:rsid w:val="006707E4"/>
    <w:rsid w:val="006740A5"/>
    <w:rsid w:val="00677552"/>
    <w:rsid w:val="006864FC"/>
    <w:rsid w:val="00693941"/>
    <w:rsid w:val="006B6B62"/>
    <w:rsid w:val="006C20B7"/>
    <w:rsid w:val="006C727B"/>
    <w:rsid w:val="006E0849"/>
    <w:rsid w:val="006F4298"/>
    <w:rsid w:val="00714F89"/>
    <w:rsid w:val="00725F3E"/>
    <w:rsid w:val="00730F47"/>
    <w:rsid w:val="0077012C"/>
    <w:rsid w:val="00792CB6"/>
    <w:rsid w:val="007960F4"/>
    <w:rsid w:val="007B3525"/>
    <w:rsid w:val="007C0CD3"/>
    <w:rsid w:val="007D0D02"/>
    <w:rsid w:val="00805953"/>
    <w:rsid w:val="00817209"/>
    <w:rsid w:val="008213B0"/>
    <w:rsid w:val="00821463"/>
    <w:rsid w:val="00822D1E"/>
    <w:rsid w:val="00845C0A"/>
    <w:rsid w:val="008565DD"/>
    <w:rsid w:val="0087251E"/>
    <w:rsid w:val="00874379"/>
    <w:rsid w:val="008C2BC4"/>
    <w:rsid w:val="008D7573"/>
    <w:rsid w:val="009039BD"/>
    <w:rsid w:val="00934994"/>
    <w:rsid w:val="009358B3"/>
    <w:rsid w:val="00973DE0"/>
    <w:rsid w:val="00980364"/>
    <w:rsid w:val="00992DBD"/>
    <w:rsid w:val="009C179F"/>
    <w:rsid w:val="009C21AA"/>
    <w:rsid w:val="009D330D"/>
    <w:rsid w:val="009E3147"/>
    <w:rsid w:val="009E3B53"/>
    <w:rsid w:val="009F7E92"/>
    <w:rsid w:val="00A0554B"/>
    <w:rsid w:val="00A14748"/>
    <w:rsid w:val="00A54871"/>
    <w:rsid w:val="00B146F7"/>
    <w:rsid w:val="00B1712C"/>
    <w:rsid w:val="00B53D40"/>
    <w:rsid w:val="00B80059"/>
    <w:rsid w:val="00B913F9"/>
    <w:rsid w:val="00BA4292"/>
    <w:rsid w:val="00C00233"/>
    <w:rsid w:val="00C02C4F"/>
    <w:rsid w:val="00C11453"/>
    <w:rsid w:val="00C3390C"/>
    <w:rsid w:val="00C5117D"/>
    <w:rsid w:val="00C63DE4"/>
    <w:rsid w:val="00C67F98"/>
    <w:rsid w:val="00C710D3"/>
    <w:rsid w:val="00C914D1"/>
    <w:rsid w:val="00C978E3"/>
    <w:rsid w:val="00CB3A6E"/>
    <w:rsid w:val="00CC7F94"/>
    <w:rsid w:val="00CE7F60"/>
    <w:rsid w:val="00CF4273"/>
    <w:rsid w:val="00D57037"/>
    <w:rsid w:val="00E053C8"/>
    <w:rsid w:val="00E151EA"/>
    <w:rsid w:val="00E71AD3"/>
    <w:rsid w:val="00E76E75"/>
    <w:rsid w:val="00EA38B9"/>
    <w:rsid w:val="00EB697F"/>
    <w:rsid w:val="00EC17D3"/>
    <w:rsid w:val="00EC449B"/>
    <w:rsid w:val="00EC5988"/>
    <w:rsid w:val="00EF03D9"/>
    <w:rsid w:val="00F11303"/>
    <w:rsid w:val="00F3400A"/>
    <w:rsid w:val="00F54A26"/>
    <w:rsid w:val="00F71908"/>
    <w:rsid w:val="00F813F4"/>
    <w:rsid w:val="00FB5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443A9"/>
    <w:pPr>
      <w:keepNext/>
      <w:numPr>
        <w:numId w:val="2"/>
      </w:numPr>
      <w:spacing w:before="240" w:after="60"/>
      <w:outlineLvl w:val="0"/>
    </w:pPr>
    <w:rPr>
      <w:rFonts w:ascii="Cambria" w:hAnsi="Cambria"/>
      <w:b/>
      <w:bCs/>
      <w:kern w:val="32"/>
      <w:sz w:val="32"/>
      <w:szCs w:val="32"/>
      <w:lang w:val="vi-VN"/>
    </w:rPr>
  </w:style>
  <w:style w:type="paragraph" w:styleId="Heading2">
    <w:name w:val="heading 2"/>
    <w:basedOn w:val="Normal"/>
    <w:next w:val="Normal"/>
    <w:link w:val="Heading2Char"/>
    <w:qFormat/>
    <w:rsid w:val="005443A9"/>
    <w:pPr>
      <w:keepNext/>
      <w:numPr>
        <w:ilvl w:val="1"/>
        <w:numId w:val="2"/>
      </w:numPr>
      <w:spacing w:before="240" w:after="60"/>
      <w:outlineLvl w:val="1"/>
    </w:pPr>
    <w:rPr>
      <w:rFonts w:ascii="Arial" w:hAnsi="Arial"/>
      <w:b/>
      <w:bCs/>
      <w:i/>
      <w:iCs/>
      <w:sz w:val="28"/>
      <w:szCs w:val="28"/>
      <w:lang w:val="vi-VN"/>
    </w:rPr>
  </w:style>
  <w:style w:type="paragraph" w:styleId="Heading3">
    <w:name w:val="heading 3"/>
    <w:basedOn w:val="Normal"/>
    <w:link w:val="Heading3Char"/>
    <w:qFormat/>
    <w:rsid w:val="005443A9"/>
    <w:pPr>
      <w:numPr>
        <w:ilvl w:val="2"/>
        <w:numId w:val="2"/>
      </w:numPr>
      <w:spacing w:before="100" w:beforeAutospacing="1" w:after="100" w:afterAutospacing="1"/>
      <w:outlineLvl w:val="2"/>
    </w:pPr>
    <w:rPr>
      <w:b/>
      <w:bCs/>
      <w:sz w:val="27"/>
      <w:szCs w:val="27"/>
      <w:lang w:val="vi-VN"/>
    </w:rPr>
  </w:style>
  <w:style w:type="paragraph" w:styleId="Heading4">
    <w:name w:val="heading 4"/>
    <w:basedOn w:val="Normal"/>
    <w:next w:val="Normal"/>
    <w:link w:val="Heading4Char"/>
    <w:unhideWhenUsed/>
    <w:qFormat/>
    <w:rsid w:val="005443A9"/>
    <w:pPr>
      <w:keepNext/>
      <w:numPr>
        <w:ilvl w:val="3"/>
        <w:numId w:val="2"/>
      </w:numPr>
      <w:spacing w:before="240" w:after="60"/>
      <w:outlineLvl w:val="3"/>
    </w:pPr>
    <w:rPr>
      <w:rFonts w:ascii="Calibri" w:hAnsi="Calibri"/>
      <w:b/>
      <w:bCs/>
      <w:sz w:val="28"/>
      <w:szCs w:val="28"/>
      <w:lang w:val="vi-VN"/>
    </w:rPr>
  </w:style>
  <w:style w:type="paragraph" w:styleId="Heading5">
    <w:name w:val="heading 5"/>
    <w:basedOn w:val="Normal"/>
    <w:next w:val="Normal"/>
    <w:link w:val="Heading5Char"/>
    <w:unhideWhenUsed/>
    <w:qFormat/>
    <w:rsid w:val="005443A9"/>
    <w:pPr>
      <w:numPr>
        <w:ilvl w:val="4"/>
        <w:numId w:val="2"/>
      </w:numPr>
      <w:spacing w:before="240" w:after="60"/>
      <w:outlineLvl w:val="4"/>
    </w:pPr>
    <w:rPr>
      <w:rFonts w:ascii="Calibri" w:hAnsi="Calibri"/>
      <w:b/>
      <w:bCs/>
      <w:i/>
      <w:iCs/>
      <w:sz w:val="26"/>
      <w:szCs w:val="26"/>
      <w:lang w:val="vi-VN"/>
    </w:rPr>
  </w:style>
  <w:style w:type="paragraph" w:styleId="Heading6">
    <w:name w:val="heading 6"/>
    <w:basedOn w:val="Normal"/>
    <w:next w:val="Normal"/>
    <w:link w:val="Heading6Char"/>
    <w:unhideWhenUsed/>
    <w:qFormat/>
    <w:rsid w:val="005443A9"/>
    <w:pPr>
      <w:numPr>
        <w:ilvl w:val="5"/>
        <w:numId w:val="2"/>
      </w:numPr>
      <w:spacing w:before="240" w:after="60"/>
      <w:outlineLvl w:val="5"/>
    </w:pPr>
    <w:rPr>
      <w:rFonts w:ascii="Calibri" w:hAnsi="Calibri"/>
      <w:b/>
      <w:bCs/>
      <w:sz w:val="22"/>
      <w:szCs w:val="22"/>
      <w:lang w:val="vi-VN"/>
    </w:rPr>
  </w:style>
  <w:style w:type="paragraph" w:styleId="Heading7">
    <w:name w:val="heading 7"/>
    <w:basedOn w:val="Normal"/>
    <w:next w:val="Normal"/>
    <w:link w:val="Heading7Char"/>
    <w:unhideWhenUsed/>
    <w:qFormat/>
    <w:rsid w:val="005443A9"/>
    <w:pPr>
      <w:numPr>
        <w:ilvl w:val="6"/>
        <w:numId w:val="2"/>
      </w:numPr>
      <w:spacing w:before="240" w:after="60"/>
      <w:outlineLvl w:val="6"/>
    </w:pPr>
    <w:rPr>
      <w:rFonts w:ascii="Calibri" w:hAnsi="Calibri"/>
      <w:lang w:val="vi-VN"/>
    </w:rPr>
  </w:style>
  <w:style w:type="paragraph" w:styleId="Heading8">
    <w:name w:val="heading 8"/>
    <w:basedOn w:val="Normal"/>
    <w:next w:val="Normal"/>
    <w:link w:val="Heading8Char"/>
    <w:semiHidden/>
    <w:unhideWhenUsed/>
    <w:qFormat/>
    <w:rsid w:val="005443A9"/>
    <w:pPr>
      <w:numPr>
        <w:ilvl w:val="7"/>
        <w:numId w:val="2"/>
      </w:numPr>
      <w:spacing w:before="240" w:after="60"/>
      <w:outlineLvl w:val="7"/>
    </w:pPr>
    <w:rPr>
      <w:rFonts w:ascii="Calibri" w:hAnsi="Calibri"/>
      <w:i/>
      <w:iCs/>
      <w:lang w:val="vi-VN"/>
    </w:rPr>
  </w:style>
  <w:style w:type="paragraph" w:styleId="Heading9">
    <w:name w:val="heading 9"/>
    <w:basedOn w:val="Normal"/>
    <w:next w:val="Normal"/>
    <w:link w:val="Heading9Char"/>
    <w:unhideWhenUsed/>
    <w:qFormat/>
    <w:rsid w:val="005443A9"/>
    <w:pPr>
      <w:numPr>
        <w:ilvl w:val="8"/>
        <w:numId w:val="2"/>
      </w:numPr>
      <w:spacing w:before="240" w:after="60"/>
      <w:outlineLvl w:val="8"/>
    </w:pPr>
    <w:rPr>
      <w:rFonts w:ascii="Cambria" w:hAnsi="Cambria"/>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871"/>
    <w:pPr>
      <w:ind w:left="720"/>
      <w:contextualSpacing/>
    </w:pPr>
  </w:style>
  <w:style w:type="table" w:styleId="TableGrid">
    <w:name w:val="Table Grid"/>
    <w:basedOn w:val="TableNormal"/>
    <w:uiPriority w:val="59"/>
    <w:rsid w:val="00A548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443A9"/>
    <w:rPr>
      <w:rFonts w:ascii="Cambria" w:eastAsia="Times New Roman" w:hAnsi="Cambria" w:cs="Times New Roman"/>
      <w:b/>
      <w:bCs/>
      <w:kern w:val="32"/>
      <w:sz w:val="32"/>
      <w:szCs w:val="32"/>
      <w:lang w:val="vi-VN"/>
    </w:rPr>
  </w:style>
  <w:style w:type="character" w:customStyle="1" w:styleId="Heading2Char">
    <w:name w:val="Heading 2 Char"/>
    <w:basedOn w:val="DefaultParagraphFont"/>
    <w:link w:val="Heading2"/>
    <w:rsid w:val="005443A9"/>
    <w:rPr>
      <w:rFonts w:ascii="Arial" w:eastAsia="Times New Roman" w:hAnsi="Arial" w:cs="Times New Roman"/>
      <w:b/>
      <w:bCs/>
      <w:i/>
      <w:iCs/>
      <w:sz w:val="28"/>
      <w:szCs w:val="28"/>
      <w:lang w:val="vi-VN"/>
    </w:rPr>
  </w:style>
  <w:style w:type="character" w:customStyle="1" w:styleId="Heading3Char">
    <w:name w:val="Heading 3 Char"/>
    <w:basedOn w:val="DefaultParagraphFont"/>
    <w:link w:val="Heading3"/>
    <w:rsid w:val="005443A9"/>
    <w:rPr>
      <w:rFonts w:ascii="Times New Roman" w:eastAsia="Times New Roman" w:hAnsi="Times New Roman" w:cs="Times New Roman"/>
      <w:b/>
      <w:bCs/>
      <w:sz w:val="27"/>
      <w:szCs w:val="27"/>
      <w:lang w:val="vi-VN"/>
    </w:rPr>
  </w:style>
  <w:style w:type="character" w:customStyle="1" w:styleId="Heading4Char">
    <w:name w:val="Heading 4 Char"/>
    <w:basedOn w:val="DefaultParagraphFont"/>
    <w:link w:val="Heading4"/>
    <w:rsid w:val="005443A9"/>
    <w:rPr>
      <w:rFonts w:ascii="Calibri" w:eastAsia="Times New Roman" w:hAnsi="Calibri" w:cs="Times New Roman"/>
      <w:b/>
      <w:bCs/>
      <w:sz w:val="28"/>
      <w:szCs w:val="28"/>
      <w:lang w:val="vi-VN"/>
    </w:rPr>
  </w:style>
  <w:style w:type="character" w:customStyle="1" w:styleId="Heading5Char">
    <w:name w:val="Heading 5 Char"/>
    <w:basedOn w:val="DefaultParagraphFont"/>
    <w:link w:val="Heading5"/>
    <w:rsid w:val="005443A9"/>
    <w:rPr>
      <w:rFonts w:ascii="Calibri" w:eastAsia="Times New Roman" w:hAnsi="Calibri" w:cs="Times New Roman"/>
      <w:b/>
      <w:bCs/>
      <w:i/>
      <w:iCs/>
      <w:sz w:val="26"/>
      <w:szCs w:val="26"/>
      <w:lang w:val="vi-VN"/>
    </w:rPr>
  </w:style>
  <w:style w:type="character" w:customStyle="1" w:styleId="Heading6Char">
    <w:name w:val="Heading 6 Char"/>
    <w:basedOn w:val="DefaultParagraphFont"/>
    <w:link w:val="Heading6"/>
    <w:rsid w:val="005443A9"/>
    <w:rPr>
      <w:rFonts w:ascii="Calibri" w:eastAsia="Times New Roman" w:hAnsi="Calibri" w:cs="Times New Roman"/>
      <w:b/>
      <w:bCs/>
      <w:lang w:val="vi-VN"/>
    </w:rPr>
  </w:style>
  <w:style w:type="character" w:customStyle="1" w:styleId="Heading7Char">
    <w:name w:val="Heading 7 Char"/>
    <w:basedOn w:val="DefaultParagraphFont"/>
    <w:link w:val="Heading7"/>
    <w:rsid w:val="005443A9"/>
    <w:rPr>
      <w:rFonts w:ascii="Calibri" w:eastAsia="Times New Roman" w:hAnsi="Calibri" w:cs="Times New Roman"/>
      <w:sz w:val="24"/>
      <w:szCs w:val="24"/>
      <w:lang w:val="vi-VN"/>
    </w:rPr>
  </w:style>
  <w:style w:type="character" w:customStyle="1" w:styleId="Heading8Char">
    <w:name w:val="Heading 8 Char"/>
    <w:basedOn w:val="DefaultParagraphFont"/>
    <w:link w:val="Heading8"/>
    <w:semiHidden/>
    <w:rsid w:val="005443A9"/>
    <w:rPr>
      <w:rFonts w:ascii="Calibri" w:eastAsia="Times New Roman" w:hAnsi="Calibri" w:cs="Times New Roman"/>
      <w:i/>
      <w:iCs/>
      <w:sz w:val="24"/>
      <w:szCs w:val="24"/>
      <w:lang w:val="vi-VN"/>
    </w:rPr>
  </w:style>
  <w:style w:type="character" w:customStyle="1" w:styleId="Heading9Char">
    <w:name w:val="Heading 9 Char"/>
    <w:basedOn w:val="DefaultParagraphFont"/>
    <w:link w:val="Heading9"/>
    <w:rsid w:val="005443A9"/>
    <w:rPr>
      <w:rFonts w:ascii="Cambria" w:eastAsia="Times New Roman" w:hAnsi="Cambria" w:cs="Times New Roman"/>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dcterms:created xsi:type="dcterms:W3CDTF">2015-08-05T01:09:00Z</dcterms:created>
  <dcterms:modified xsi:type="dcterms:W3CDTF">2015-07-26T12:39:00Z</dcterms:modified>
</cp:coreProperties>
</file>